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DFDC" w14:textId="77777777" w:rsidR="00DE50C6" w:rsidRPr="004D0104" w:rsidRDefault="00DE50C6" w:rsidP="00DE50C6">
      <w:pPr>
        <w:jc w:val="center"/>
        <w:rPr>
          <w:smallCaps/>
          <w:sz w:val="28"/>
          <w:szCs w:val="28"/>
        </w:rPr>
      </w:pPr>
      <w:r>
        <w:rPr>
          <w:smallCaps/>
          <w:sz w:val="28"/>
          <w:szCs w:val="28"/>
        </w:rPr>
        <w:t>Delphine Harou</w:t>
      </w:r>
    </w:p>
    <w:p w14:paraId="160AA2A3" w14:textId="77777777" w:rsidR="00DE50C6" w:rsidRPr="00520710" w:rsidRDefault="00DE50C6" w:rsidP="00DE50C6">
      <w:pPr>
        <w:jc w:val="center"/>
        <w:rPr>
          <w:smallCaps/>
          <w:lang w:val="en-GB"/>
        </w:rPr>
      </w:pPr>
      <w:r>
        <w:rPr>
          <w:smallCaps/>
          <w:lang w:val="en-GB"/>
        </w:rPr>
        <w:t>Head of Unit Supervision and Enforcement</w:t>
      </w:r>
    </w:p>
    <w:p w14:paraId="310E0508" w14:textId="77777777" w:rsidR="00DE50C6" w:rsidRPr="00E02296" w:rsidRDefault="00DE50C6" w:rsidP="00DE50C6">
      <w:pPr>
        <w:jc w:val="center"/>
        <w:rPr>
          <w:lang w:val="en-GB"/>
        </w:rPr>
      </w:pPr>
    </w:p>
    <w:p w14:paraId="721CD6CF" w14:textId="77777777" w:rsidR="00B13756" w:rsidRPr="005903A4" w:rsidRDefault="00B13756" w:rsidP="00B13756">
      <w:pPr>
        <w:rPr>
          <w:lang w:val="en-GB"/>
        </w:rPr>
      </w:pPr>
    </w:p>
    <w:p w14:paraId="5769BFA7" w14:textId="77777777" w:rsidR="00B13756" w:rsidRPr="005903A4" w:rsidRDefault="00B13756" w:rsidP="00B13756">
      <w:pPr>
        <w:rPr>
          <w:lang w:val="en-GB"/>
        </w:rPr>
      </w:pPr>
    </w:p>
    <w:p w14:paraId="76A7A589" w14:textId="77777777" w:rsidR="00DA2CEF" w:rsidRPr="00EC6CFF" w:rsidRDefault="00DA2CEF" w:rsidP="004559C0">
      <w:pPr>
        <w:ind w:left="5040"/>
        <w:rPr>
          <w:u w:val="single"/>
          <w:lang w:val="en-GB"/>
        </w:rPr>
      </w:pPr>
      <w:r w:rsidRPr="00EC6CFF">
        <w:rPr>
          <w:lang w:val="en-GB"/>
        </w:rPr>
        <w:t xml:space="preserve">[DPO of a European </w:t>
      </w:r>
      <w:r>
        <w:rPr>
          <w:lang w:val="en-GB"/>
        </w:rPr>
        <w:t xml:space="preserve">Institution, Body or </w:t>
      </w:r>
      <w:r w:rsidRPr="00EC6CFF">
        <w:rPr>
          <w:lang w:val="en-GB"/>
        </w:rPr>
        <w:t>Agency]</w:t>
      </w:r>
    </w:p>
    <w:p w14:paraId="572A445D" w14:textId="77777777" w:rsidR="0035021F" w:rsidRPr="004559C0" w:rsidRDefault="0035021F" w:rsidP="0035021F">
      <w:pPr>
        <w:jc w:val="left"/>
        <w:rPr>
          <w:lang w:val="en-GB"/>
        </w:rPr>
      </w:pPr>
      <w:r w:rsidRPr="004559C0">
        <w:rPr>
          <w:lang w:val="en-GB"/>
        </w:rPr>
        <w:t> </w:t>
      </w:r>
    </w:p>
    <w:p w14:paraId="0B8D868B" w14:textId="4330241A" w:rsidR="0035021F" w:rsidRPr="009F699E" w:rsidRDefault="0035021F" w:rsidP="0035021F">
      <w:pPr>
        <w:rPr>
          <w:lang w:val="en-GB"/>
        </w:rPr>
      </w:pPr>
      <w:r w:rsidRPr="004559C0">
        <w:rPr>
          <w:lang w:val="en-GB"/>
        </w:rPr>
        <w:tab/>
      </w:r>
      <w:r w:rsidRPr="004559C0">
        <w:rPr>
          <w:lang w:val="en-GB"/>
        </w:rPr>
        <w:tab/>
      </w:r>
      <w:r w:rsidRPr="004559C0">
        <w:rPr>
          <w:lang w:val="en-GB"/>
        </w:rPr>
        <w:tab/>
      </w:r>
      <w:r w:rsidRPr="004559C0">
        <w:rPr>
          <w:lang w:val="en-GB"/>
        </w:rPr>
        <w:tab/>
      </w:r>
      <w:r w:rsidRPr="004559C0">
        <w:rPr>
          <w:lang w:val="en-GB"/>
        </w:rPr>
        <w:tab/>
      </w:r>
      <w:r w:rsidRPr="004559C0">
        <w:rPr>
          <w:lang w:val="en-GB"/>
        </w:rPr>
        <w:tab/>
      </w:r>
      <w:r w:rsidRPr="004559C0">
        <w:rPr>
          <w:lang w:val="en-GB"/>
        </w:rPr>
        <w:tab/>
      </w:r>
      <w:r w:rsidRPr="009F699E">
        <w:rPr>
          <w:lang w:val="en-GB"/>
        </w:rPr>
        <w:t xml:space="preserve">Brussels, </w:t>
      </w:r>
      <w:r w:rsidR="00DE50C6" w:rsidRPr="009F699E">
        <w:rPr>
          <w:lang w:val="en-GB"/>
        </w:rPr>
        <w:t xml:space="preserve">21st </w:t>
      </w:r>
      <w:r w:rsidR="00D04AC9" w:rsidRPr="009F699E">
        <w:rPr>
          <w:lang w:val="en-GB"/>
        </w:rPr>
        <w:t xml:space="preserve">April </w:t>
      </w:r>
      <w:r w:rsidR="004950D1" w:rsidRPr="009F699E">
        <w:rPr>
          <w:lang w:val="en-GB"/>
        </w:rPr>
        <w:t>20</w:t>
      </w:r>
      <w:r w:rsidR="00D04AC9" w:rsidRPr="009F699E">
        <w:rPr>
          <w:lang w:val="en-GB"/>
        </w:rPr>
        <w:t>20</w:t>
      </w:r>
    </w:p>
    <w:p w14:paraId="7F6EEE65" w14:textId="77777777" w:rsidR="00DE50C6" w:rsidRPr="009F699E" w:rsidRDefault="00DE50C6" w:rsidP="0035021F">
      <w:pPr>
        <w:rPr>
          <w:lang w:val="en-GB"/>
        </w:rPr>
      </w:pPr>
    </w:p>
    <w:p w14:paraId="4F6F4568" w14:textId="6E5F029E" w:rsidR="0035021F" w:rsidRPr="00DA2CEF" w:rsidRDefault="0035021F" w:rsidP="0035021F">
      <w:pPr>
        <w:rPr>
          <w:b/>
          <w:lang w:val="en-GB"/>
        </w:rPr>
      </w:pPr>
      <w:r w:rsidRPr="009F699E">
        <w:rPr>
          <w:lang w:val="en-GB"/>
        </w:rPr>
        <w:tab/>
      </w:r>
      <w:r w:rsidRPr="009F699E">
        <w:rPr>
          <w:lang w:val="en-GB"/>
        </w:rPr>
        <w:tab/>
      </w:r>
      <w:r w:rsidRPr="009F699E">
        <w:rPr>
          <w:lang w:val="en-GB"/>
        </w:rPr>
        <w:tab/>
      </w:r>
      <w:r w:rsidRPr="009F699E">
        <w:rPr>
          <w:lang w:val="en-GB"/>
        </w:rPr>
        <w:tab/>
      </w:r>
      <w:r w:rsidRPr="009F699E">
        <w:rPr>
          <w:lang w:val="en-GB"/>
        </w:rPr>
        <w:tab/>
      </w:r>
      <w:r w:rsidRPr="009F699E">
        <w:rPr>
          <w:lang w:val="en-GB"/>
        </w:rPr>
        <w:tab/>
      </w:r>
      <w:r w:rsidRPr="009F699E">
        <w:rPr>
          <w:lang w:val="en-GB"/>
        </w:rPr>
        <w:tab/>
      </w:r>
      <w:r w:rsidR="001A5AAB">
        <w:rPr>
          <w:lang w:val="en-GB"/>
        </w:rPr>
        <w:t>[…]</w:t>
      </w:r>
      <w:r w:rsidRPr="00DA2CEF">
        <w:rPr>
          <w:lang w:val="en-GB"/>
        </w:rPr>
        <w:t>/ D(20</w:t>
      </w:r>
      <w:r w:rsidR="00D04AC9" w:rsidRPr="00DA2CEF">
        <w:rPr>
          <w:lang w:val="en-GB"/>
        </w:rPr>
        <w:t>20</w:t>
      </w:r>
      <w:r w:rsidR="008A450C" w:rsidRPr="00DA2CEF">
        <w:rPr>
          <w:lang w:val="en-GB"/>
        </w:rPr>
        <w:t xml:space="preserve">) </w:t>
      </w:r>
      <w:r w:rsidR="00DE50C6" w:rsidRPr="00DA2CEF">
        <w:rPr>
          <w:lang w:val="en-GB"/>
        </w:rPr>
        <w:t>1005</w:t>
      </w:r>
      <w:r w:rsidR="008A450C" w:rsidRPr="00DA2CEF">
        <w:rPr>
          <w:lang w:val="en-GB"/>
        </w:rPr>
        <w:t xml:space="preserve">   </w:t>
      </w:r>
      <w:r w:rsidRPr="00DA2CEF">
        <w:rPr>
          <w:lang w:val="en-GB"/>
        </w:rPr>
        <w:t xml:space="preserve"> </w:t>
      </w:r>
      <w:r w:rsidR="00DB372C" w:rsidRPr="00DA2CEF">
        <w:rPr>
          <w:b/>
          <w:lang w:val="en-GB"/>
        </w:rPr>
        <w:t xml:space="preserve">C </w:t>
      </w:r>
      <w:r w:rsidR="00DE50C6" w:rsidRPr="00DA2CEF">
        <w:rPr>
          <w:b/>
          <w:lang w:val="en-GB"/>
        </w:rPr>
        <w:t>2020-0320</w:t>
      </w:r>
    </w:p>
    <w:p w14:paraId="00F80B18" w14:textId="67C31B13" w:rsidR="00DE50C6" w:rsidRPr="004C2B50" w:rsidRDefault="00DE50C6" w:rsidP="00DE50C6">
      <w:pPr>
        <w:ind w:left="5040"/>
        <w:rPr>
          <w:b/>
          <w:sz w:val="22"/>
          <w:szCs w:val="22"/>
        </w:rPr>
      </w:pPr>
      <w:r w:rsidRPr="004C2B50">
        <w:rPr>
          <w:b/>
          <w:sz w:val="22"/>
          <w:szCs w:val="22"/>
        </w:rPr>
        <w:t xml:space="preserve">Please use </w:t>
      </w:r>
      <w:hyperlink r:id="rId9" w:tooltip="mailto:edps@edps.europa.eu" w:history="1">
        <w:r w:rsidRPr="004C2B50">
          <w:rPr>
            <w:b/>
            <w:color w:val="0000FF"/>
            <w:sz w:val="22"/>
            <w:szCs w:val="22"/>
            <w:u w:val="single"/>
          </w:rPr>
          <w:t>edps@edps.europa.eu</w:t>
        </w:r>
      </w:hyperlink>
      <w:r w:rsidRPr="004C2B50">
        <w:rPr>
          <w:b/>
          <w:sz w:val="22"/>
          <w:szCs w:val="22"/>
        </w:rPr>
        <w:t xml:space="preserve"> for all correspondence</w:t>
      </w:r>
    </w:p>
    <w:p w14:paraId="5616A825" w14:textId="01D26EFA" w:rsidR="00DE50C6" w:rsidRPr="00DE50C6" w:rsidRDefault="00DE50C6" w:rsidP="0035021F">
      <w:pPr>
        <w:rPr>
          <w:b/>
        </w:rPr>
      </w:pPr>
    </w:p>
    <w:p w14:paraId="7AC6887C" w14:textId="6E89971A" w:rsidR="0035021F" w:rsidRPr="00C02DAE" w:rsidRDefault="0035021F" w:rsidP="00F8565E">
      <w:pPr>
        <w:rPr>
          <w:smallCaps/>
          <w:lang w:val="en-GB"/>
        </w:rPr>
      </w:pPr>
    </w:p>
    <w:p w14:paraId="2D6EF7DB" w14:textId="77777777" w:rsidR="0035021F" w:rsidRPr="00C02DAE" w:rsidRDefault="0035021F" w:rsidP="0035021F">
      <w:pPr>
        <w:rPr>
          <w:lang w:val="en-GB"/>
        </w:rPr>
      </w:pPr>
    </w:p>
    <w:p w14:paraId="15275B50" w14:textId="77777777" w:rsidR="0035021F" w:rsidRPr="00C02DAE" w:rsidRDefault="0035021F" w:rsidP="0035021F">
      <w:pPr>
        <w:rPr>
          <w:lang w:val="en-GB"/>
        </w:rPr>
      </w:pPr>
    </w:p>
    <w:p w14:paraId="21E6BBDE" w14:textId="60E482BA" w:rsidR="0035021F" w:rsidRPr="00D6686E" w:rsidRDefault="0035021F" w:rsidP="00D04AC9">
      <w:pPr>
        <w:ind w:left="993" w:hanging="993"/>
        <w:rPr>
          <w:b/>
          <w:lang w:val="en-GB"/>
        </w:rPr>
      </w:pPr>
      <w:r w:rsidRPr="00D6686E">
        <w:rPr>
          <w:b/>
          <w:lang w:val="en-GB"/>
        </w:rPr>
        <w:t>Su</w:t>
      </w:r>
      <w:r w:rsidR="00D04AC9">
        <w:rPr>
          <w:b/>
          <w:lang w:val="en-GB"/>
        </w:rPr>
        <w:t xml:space="preserve">bject: </w:t>
      </w:r>
      <w:r w:rsidR="00B958BC" w:rsidRPr="00D04AC9">
        <w:rPr>
          <w:b/>
          <w:lang w:val="en-GB"/>
        </w:rPr>
        <w:t xml:space="preserve">Consultation </w:t>
      </w:r>
      <w:r w:rsidR="00D04AC9">
        <w:rPr>
          <w:b/>
          <w:lang w:val="en-GB"/>
        </w:rPr>
        <w:t xml:space="preserve">of </w:t>
      </w:r>
      <w:r w:rsidR="00DA2CEF" w:rsidRPr="00984F3C">
        <w:rPr>
          <w:b/>
          <w:lang w:val="en-GB"/>
        </w:rPr>
        <w:t>[the Institution]</w:t>
      </w:r>
      <w:r w:rsidR="00D04AC9">
        <w:rPr>
          <w:b/>
          <w:lang w:val="en-GB"/>
        </w:rPr>
        <w:t xml:space="preserve"> on the </w:t>
      </w:r>
      <w:bookmarkStart w:id="0" w:name="_GoBack"/>
      <w:r w:rsidR="00D04AC9" w:rsidRPr="00D04AC9">
        <w:rPr>
          <w:b/>
          <w:color w:val="000000"/>
        </w:rPr>
        <w:t xml:space="preserve">data protection provisions of </w:t>
      </w:r>
      <w:r w:rsidR="00D04AC9">
        <w:rPr>
          <w:b/>
          <w:color w:val="000000"/>
        </w:rPr>
        <w:t xml:space="preserve">a framework agreement concerning </w:t>
      </w:r>
      <w:r w:rsidR="00D04AC9" w:rsidRPr="00D04AC9">
        <w:rPr>
          <w:b/>
          <w:color w:val="000000"/>
        </w:rPr>
        <w:t>payroll services for local employees</w:t>
      </w:r>
      <w:r w:rsidR="00D04AC9">
        <w:rPr>
          <w:b/>
          <w:color w:val="000000"/>
        </w:rPr>
        <w:t xml:space="preserve"> of </w:t>
      </w:r>
      <w:r w:rsidR="00DA2CEF" w:rsidRPr="00984F3C">
        <w:rPr>
          <w:b/>
          <w:lang w:val="en-GB"/>
        </w:rPr>
        <w:t>[the Institution]</w:t>
      </w:r>
      <w:r w:rsidR="00DA2CEF">
        <w:rPr>
          <w:lang w:val="en-GB"/>
        </w:rPr>
        <w:t xml:space="preserve"> </w:t>
      </w:r>
      <w:r w:rsidR="00D04AC9">
        <w:rPr>
          <w:b/>
          <w:color w:val="000000"/>
        </w:rPr>
        <w:t xml:space="preserve">located </w:t>
      </w:r>
      <w:r w:rsidR="00D04AC9" w:rsidRPr="00D04AC9">
        <w:rPr>
          <w:b/>
          <w:color w:val="000000"/>
        </w:rPr>
        <w:t xml:space="preserve">in </w:t>
      </w:r>
      <w:r w:rsidR="00DA2CEF" w:rsidRPr="00984F3C">
        <w:rPr>
          <w:b/>
          <w:lang w:val="en-GB"/>
        </w:rPr>
        <w:t>[a third country]</w:t>
      </w:r>
      <w:r w:rsidR="00D04AC9">
        <w:rPr>
          <w:b/>
          <w:lang w:val="en-GB"/>
        </w:rPr>
        <w:t xml:space="preserve"> </w:t>
      </w:r>
      <w:bookmarkEnd w:id="0"/>
      <w:r w:rsidR="00D04AC9">
        <w:rPr>
          <w:b/>
          <w:lang w:val="en-GB"/>
        </w:rPr>
        <w:t>(Case 2020</w:t>
      </w:r>
      <w:r w:rsidRPr="00D6686E">
        <w:rPr>
          <w:b/>
          <w:lang w:val="en-GB"/>
        </w:rPr>
        <w:t>-0</w:t>
      </w:r>
      <w:r w:rsidR="00D04AC9">
        <w:rPr>
          <w:b/>
          <w:lang w:val="en-GB"/>
        </w:rPr>
        <w:t>320</w:t>
      </w:r>
      <w:r w:rsidRPr="00D6686E">
        <w:rPr>
          <w:b/>
          <w:lang w:val="en-GB"/>
        </w:rPr>
        <w:t>)</w:t>
      </w:r>
    </w:p>
    <w:p w14:paraId="0465740C" w14:textId="43219992" w:rsidR="00EE25C5" w:rsidRPr="00D6686E" w:rsidRDefault="00EE25C5" w:rsidP="00B958BC">
      <w:pPr>
        <w:rPr>
          <w:lang w:val="en-GB"/>
        </w:rPr>
      </w:pPr>
    </w:p>
    <w:p w14:paraId="1CE723C3" w14:textId="77777777" w:rsidR="00DE50C6" w:rsidRDefault="00DE50C6" w:rsidP="00D04AC9">
      <w:pPr>
        <w:rPr>
          <w:lang w:val="en-GB"/>
        </w:rPr>
      </w:pPr>
    </w:p>
    <w:p w14:paraId="76F04868" w14:textId="3977F0CA" w:rsidR="00B958BC" w:rsidRPr="00984F3C" w:rsidRDefault="00B958BC" w:rsidP="00D04AC9">
      <w:pPr>
        <w:rPr>
          <w:lang w:val="en-GB"/>
        </w:rPr>
      </w:pPr>
      <w:r w:rsidRPr="00D6686E">
        <w:rPr>
          <w:lang w:val="en-GB"/>
        </w:rPr>
        <w:t xml:space="preserve">Dear </w:t>
      </w:r>
      <w:r w:rsidR="00DA2CEF" w:rsidRPr="00EC6CFF">
        <w:rPr>
          <w:lang w:val="en-GB"/>
        </w:rPr>
        <w:t>[DPO]</w:t>
      </w:r>
      <w:r w:rsidR="00D04AC9">
        <w:rPr>
          <w:lang w:val="en-GB"/>
        </w:rPr>
        <w:t xml:space="preserve">, </w:t>
      </w:r>
    </w:p>
    <w:p w14:paraId="586BB7E7" w14:textId="0D170AB2" w:rsidR="00D04AC9" w:rsidRDefault="00D04AC9" w:rsidP="00D04AC9"/>
    <w:p w14:paraId="7F65A1A7" w14:textId="186DB525" w:rsidR="00D04AC9" w:rsidRPr="00EB599D" w:rsidRDefault="00D04AC9" w:rsidP="00D04AC9">
      <w:r>
        <w:t>W</w:t>
      </w:r>
      <w:r w:rsidRPr="00EB599D">
        <w:t>e have registered your consultation request of 12 March</w:t>
      </w:r>
      <w:r>
        <w:t xml:space="preserve"> 2020 </w:t>
      </w:r>
      <w:r w:rsidRPr="00EB599D">
        <w:t xml:space="preserve">under the case number </w:t>
      </w:r>
      <w:r w:rsidRPr="00EB599D">
        <w:rPr>
          <w:b/>
        </w:rPr>
        <w:t>2020-</w:t>
      </w:r>
      <w:r>
        <w:rPr>
          <w:b/>
        </w:rPr>
        <w:t>0320</w:t>
      </w:r>
      <w:r w:rsidRPr="00EB599D">
        <w:t xml:space="preserve">. We have decided to </w:t>
      </w:r>
      <w:r w:rsidRPr="00D04AC9">
        <w:t xml:space="preserve">treat </w:t>
      </w:r>
      <w:r>
        <w:t>your request</w:t>
      </w:r>
      <w:r w:rsidRPr="00D04AC9">
        <w:t xml:space="preserve"> as a formal consultation since </w:t>
      </w:r>
      <w:r>
        <w:t>it</w:t>
      </w:r>
      <w:r w:rsidRPr="00D04AC9">
        <w:t xml:space="preserve"> raises important issues</w:t>
      </w:r>
      <w:r w:rsidR="008A450C">
        <w:t xml:space="preserve"> that are</w:t>
      </w:r>
      <w:r w:rsidRPr="00D04AC9">
        <w:t xml:space="preserve"> also of interest for other </w:t>
      </w:r>
      <w:r>
        <w:t>EU institutions, agencies and bodies</w:t>
      </w:r>
      <w:r w:rsidRPr="00D04AC9">
        <w:t xml:space="preserve">. We </w:t>
      </w:r>
      <w:r w:rsidR="008A450C">
        <w:t xml:space="preserve">also </w:t>
      </w:r>
      <w:r>
        <w:t>inform you that we</w:t>
      </w:r>
      <w:r w:rsidRPr="00D04AC9">
        <w:t xml:space="preserve"> intend to </w:t>
      </w:r>
      <w:r w:rsidR="00431C55">
        <w:t>publish</w:t>
      </w:r>
      <w:r w:rsidRPr="00D04AC9">
        <w:t xml:space="preserve"> a </w:t>
      </w:r>
      <w:r w:rsidR="00431C55">
        <w:t xml:space="preserve">redacted </w:t>
      </w:r>
      <w:r w:rsidRPr="00D04AC9">
        <w:t xml:space="preserve">version of this </w:t>
      </w:r>
      <w:r w:rsidR="00431C55">
        <w:t>reply</w:t>
      </w:r>
      <w:r w:rsidRPr="00D04AC9">
        <w:t xml:space="preserve"> without any reference to </w:t>
      </w:r>
      <w:r w:rsidR="00DA2CEF" w:rsidRPr="00EC6CFF">
        <w:rPr>
          <w:lang w:val="en-GB"/>
        </w:rPr>
        <w:t>[</w:t>
      </w:r>
      <w:r w:rsidR="00DA2CEF">
        <w:rPr>
          <w:lang w:val="en-GB"/>
        </w:rPr>
        <w:t>the Institution</w:t>
      </w:r>
      <w:r w:rsidR="00DA2CEF" w:rsidRPr="00EC6CFF">
        <w:rPr>
          <w:lang w:val="en-GB"/>
        </w:rPr>
        <w:t>]</w:t>
      </w:r>
      <w:r w:rsidRPr="00D04AC9">
        <w:t>.</w:t>
      </w:r>
      <w:r w:rsidR="00431C55">
        <w:t xml:space="preserve"> We will send you the text of the reply as edited before publication. </w:t>
      </w:r>
    </w:p>
    <w:p w14:paraId="78F78FEE" w14:textId="77777777" w:rsidR="00D04AC9" w:rsidRPr="00EB599D" w:rsidRDefault="00D04AC9" w:rsidP="00D04AC9"/>
    <w:p w14:paraId="4C599EDD" w14:textId="18625E93" w:rsidR="00D04AC9" w:rsidRPr="00EB599D" w:rsidRDefault="00D04AC9" w:rsidP="00D04AC9">
      <w:r w:rsidRPr="00EB599D">
        <w:t xml:space="preserve">The subject of your consultation concerns the data protection provisions of </w:t>
      </w:r>
      <w:r>
        <w:t>a</w:t>
      </w:r>
      <w:r w:rsidRPr="00EB599D">
        <w:t xml:space="preserve"> future framework agreement between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rsidRPr="00EB599D">
        <w:t xml:space="preserve">and </w:t>
      </w:r>
      <w:r w:rsidR="00984F3C" w:rsidRPr="00EC6CFF">
        <w:rPr>
          <w:lang w:val="en-GB"/>
        </w:rPr>
        <w:t>[</w:t>
      </w:r>
      <w:r w:rsidR="00984F3C">
        <w:rPr>
          <w:lang w:val="en-GB"/>
        </w:rPr>
        <w:t>the service provider</w:t>
      </w:r>
      <w:r w:rsidR="00984F3C" w:rsidRPr="00EC6CFF">
        <w:rPr>
          <w:lang w:val="en-GB"/>
        </w:rPr>
        <w:t>]</w:t>
      </w:r>
      <w:r w:rsidR="00984F3C">
        <w:rPr>
          <w:lang w:val="en-GB"/>
        </w:rPr>
        <w:t xml:space="preserve"> </w:t>
      </w:r>
      <w:r w:rsidRPr="00EB599D">
        <w:t xml:space="preserve">concerning payroll-related services for local employees of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rsidRPr="00EB599D">
        <w:t xml:space="preserve">based in </w:t>
      </w:r>
      <w:r w:rsidR="00DA2CEF" w:rsidRPr="00EC6CFF">
        <w:rPr>
          <w:lang w:val="en-GB"/>
        </w:rPr>
        <w:t>[</w:t>
      </w:r>
      <w:r w:rsidR="00DA2CEF">
        <w:rPr>
          <w:lang w:val="en-GB"/>
        </w:rPr>
        <w:t>a third country</w:t>
      </w:r>
      <w:r w:rsidR="00DA2CEF" w:rsidRPr="00EC6CFF">
        <w:rPr>
          <w:lang w:val="en-GB"/>
        </w:rPr>
        <w:t>]</w:t>
      </w:r>
      <w:r w:rsidRPr="00EB599D">
        <w:t xml:space="preserve">. This entails the processing of personal data, namely the transfer of data of local employees to the service provider in </w:t>
      </w:r>
      <w:r w:rsidR="00DA2CEF" w:rsidRPr="00EC6CFF">
        <w:rPr>
          <w:lang w:val="en-GB"/>
        </w:rPr>
        <w:t>[</w:t>
      </w:r>
      <w:r w:rsidR="00DA2CEF">
        <w:rPr>
          <w:lang w:val="en-GB"/>
        </w:rPr>
        <w:t>a third country</w:t>
      </w:r>
      <w:r w:rsidR="00DA2CEF" w:rsidRPr="00EC6CFF">
        <w:rPr>
          <w:lang w:val="en-GB"/>
        </w:rPr>
        <w:t>]</w:t>
      </w:r>
      <w:r w:rsidRPr="00EB599D">
        <w:t xml:space="preserve">, which are necessary for the provision of </w:t>
      </w:r>
      <w:r>
        <w:t xml:space="preserve">the </w:t>
      </w:r>
      <w:r w:rsidRPr="00EB599D">
        <w:t xml:space="preserve">payroll services. The </w:t>
      </w:r>
      <w:r w:rsidR="00984F3C" w:rsidRPr="00EC6CFF">
        <w:rPr>
          <w:lang w:val="en-GB"/>
        </w:rPr>
        <w:t>[</w:t>
      </w:r>
      <w:r w:rsidR="00984F3C">
        <w:rPr>
          <w:lang w:val="en-GB"/>
        </w:rPr>
        <w:t>service provider</w:t>
      </w:r>
      <w:r w:rsidR="00984F3C" w:rsidRPr="00EC6CFF">
        <w:rPr>
          <w:lang w:val="en-GB"/>
        </w:rPr>
        <w:t>]</w:t>
      </w:r>
      <w:r w:rsidRPr="00EB599D">
        <w:t xml:space="preserve"> is a private company that applies </w:t>
      </w:r>
      <w:r w:rsidR="00984F3C" w:rsidRPr="00EC6CFF">
        <w:rPr>
          <w:lang w:val="en-GB"/>
        </w:rPr>
        <w:t>[</w:t>
      </w:r>
      <w:r w:rsidR="001A5AAB">
        <w:rPr>
          <w:lang w:val="en-GB"/>
        </w:rPr>
        <w:t>th</w:t>
      </w:r>
      <w:r w:rsidR="00984F3C">
        <w:rPr>
          <w:lang w:val="en-GB"/>
        </w:rPr>
        <w:t>a</w:t>
      </w:r>
      <w:r w:rsidR="001A5AAB">
        <w:rPr>
          <w:lang w:val="en-GB"/>
        </w:rPr>
        <w:t>t</w:t>
      </w:r>
      <w:r w:rsidR="00984F3C">
        <w:rPr>
          <w:lang w:val="en-GB"/>
        </w:rPr>
        <w:t xml:space="preserve"> third country’s</w:t>
      </w:r>
      <w:r w:rsidR="00984F3C" w:rsidRPr="00EC6CFF">
        <w:rPr>
          <w:lang w:val="en-GB"/>
        </w:rPr>
        <w:t>]</w:t>
      </w:r>
      <w:r w:rsidR="00984F3C">
        <w:rPr>
          <w:lang w:val="en-GB"/>
        </w:rPr>
        <w:t xml:space="preserve"> </w:t>
      </w:r>
      <w:r w:rsidRPr="00EB599D">
        <w:t xml:space="preserve">law, including </w:t>
      </w:r>
      <w:r w:rsidR="00984F3C" w:rsidRPr="00EC6CFF">
        <w:rPr>
          <w:lang w:val="en-GB"/>
        </w:rPr>
        <w:t>[</w:t>
      </w:r>
      <w:r w:rsidR="001A5AAB">
        <w:rPr>
          <w:lang w:val="en-GB"/>
        </w:rPr>
        <w:t>th</w:t>
      </w:r>
      <w:r w:rsidR="00984F3C">
        <w:rPr>
          <w:lang w:val="en-GB"/>
        </w:rPr>
        <w:t>a</w:t>
      </w:r>
      <w:r w:rsidR="001A5AAB">
        <w:rPr>
          <w:lang w:val="en-GB"/>
        </w:rPr>
        <w:t>t</w:t>
      </w:r>
      <w:r w:rsidR="00984F3C">
        <w:rPr>
          <w:lang w:val="en-GB"/>
        </w:rPr>
        <w:t xml:space="preserve"> third country’s</w:t>
      </w:r>
      <w:r w:rsidR="00984F3C" w:rsidRPr="00EC6CFF">
        <w:rPr>
          <w:lang w:val="en-GB"/>
        </w:rPr>
        <w:t>]</w:t>
      </w:r>
      <w:r w:rsidR="00984F3C">
        <w:rPr>
          <w:lang w:val="en-GB"/>
        </w:rPr>
        <w:t xml:space="preserve"> </w:t>
      </w:r>
      <w:r w:rsidRPr="00EB599D">
        <w:t>data protection law, and it is not bound by Regulation (EU) 2018/1725</w:t>
      </w:r>
      <w:r>
        <w:rPr>
          <w:rStyle w:val="FootnoteReference"/>
        </w:rPr>
        <w:footnoteReference w:id="1"/>
      </w:r>
      <w:r w:rsidRPr="00EB599D">
        <w:t>.</w:t>
      </w:r>
    </w:p>
    <w:p w14:paraId="25305270" w14:textId="77777777" w:rsidR="00D04AC9" w:rsidRPr="00EB599D" w:rsidRDefault="00D04AC9" w:rsidP="00D04AC9"/>
    <w:p w14:paraId="49D75779" w14:textId="59DFFAC0" w:rsidR="00D04AC9" w:rsidRPr="00EB599D" w:rsidRDefault="00D04AC9" w:rsidP="00D04AC9">
      <w:r w:rsidRPr="00EB599D">
        <w:t>The questions you raised</w:t>
      </w:r>
      <w:r>
        <w:t xml:space="preserve"> in your consultation</w:t>
      </w:r>
      <w:r w:rsidRPr="00EB599D">
        <w:t xml:space="preserve"> concern the legal ground(s) for transfers of data of local employees to the service provider in </w:t>
      </w:r>
      <w:r w:rsidR="00DA2CEF" w:rsidRPr="00EC6CFF">
        <w:rPr>
          <w:lang w:val="en-GB"/>
        </w:rPr>
        <w:t>[</w:t>
      </w:r>
      <w:r w:rsidR="00DA2CEF">
        <w:rPr>
          <w:lang w:val="en-GB"/>
        </w:rPr>
        <w:t>a third country</w:t>
      </w:r>
      <w:r w:rsidR="00DA2CEF" w:rsidRPr="00EC6CFF">
        <w:rPr>
          <w:lang w:val="en-GB"/>
        </w:rPr>
        <w:t>]</w:t>
      </w:r>
      <w:r w:rsidR="00DA2CEF">
        <w:rPr>
          <w:lang w:val="en-GB"/>
        </w:rPr>
        <w:t xml:space="preserve"> </w:t>
      </w:r>
      <w:r w:rsidRPr="00EB599D">
        <w:t xml:space="preserve">under Chapter V of Regulation (EU) 2018/1725. Based on the scenario detailed in your email and the information you </w:t>
      </w:r>
      <w:r w:rsidR="00EE25C5">
        <w:t xml:space="preserve">have </w:t>
      </w:r>
      <w:r w:rsidRPr="00EB599D">
        <w:t xml:space="preserve">provided us with, we have answered your questions below. </w:t>
      </w:r>
    </w:p>
    <w:p w14:paraId="65438D0E" w14:textId="77777777" w:rsidR="00D04AC9" w:rsidRPr="00EB599D" w:rsidRDefault="00D04AC9" w:rsidP="00D04AC9"/>
    <w:p w14:paraId="6B873297" w14:textId="00A37A49" w:rsidR="00D04AC9" w:rsidRPr="00FF6866" w:rsidRDefault="00D04AC9" w:rsidP="00D04AC9">
      <w:pPr>
        <w:rPr>
          <w:b/>
          <w:i/>
        </w:rPr>
      </w:pPr>
      <w:r w:rsidRPr="00FF6866">
        <w:rPr>
          <w:b/>
          <w:i/>
        </w:rPr>
        <w:t xml:space="preserve">1) Could </w:t>
      </w:r>
      <w:r w:rsidR="00DA2CEF" w:rsidRPr="00984F3C">
        <w:rPr>
          <w:b/>
          <w:i/>
          <w:lang w:val="en-GB"/>
        </w:rPr>
        <w:t>[the Institution]</w:t>
      </w:r>
      <w:r w:rsidR="00984F3C" w:rsidRPr="00984F3C">
        <w:rPr>
          <w:b/>
          <w:i/>
          <w:lang w:val="en-GB"/>
        </w:rPr>
        <w:t xml:space="preserve"> </w:t>
      </w:r>
      <w:r w:rsidRPr="00FF6866">
        <w:rPr>
          <w:b/>
          <w:i/>
        </w:rPr>
        <w:t xml:space="preserve">consider using one of the derogations of Article 50 of Regulation (EU) 2018/1725 in that case, by informing the EDPS accordingly in line with paragraph 6 thereof? </w:t>
      </w:r>
    </w:p>
    <w:p w14:paraId="3CACC943" w14:textId="77777777" w:rsidR="00D04AC9" w:rsidRPr="00EB599D" w:rsidRDefault="00D04AC9" w:rsidP="00D04AC9"/>
    <w:p w14:paraId="4BB1D34D" w14:textId="77777777" w:rsidR="00D04AC9" w:rsidRDefault="00D04AC9" w:rsidP="00D04AC9">
      <w:r w:rsidRPr="00EB599D">
        <w:t xml:space="preserve">We first recall that all derogations for specific situations under Article 50 of Regulation (EU) 2018/1725 must be interpreted restrictively, so that the exception does not become the rule. We have </w:t>
      </w:r>
      <w:r>
        <w:t>checked</w:t>
      </w:r>
      <w:r w:rsidRPr="00EB599D">
        <w:t xml:space="preserve"> each one of the derogations under Article 50(1), including the ones under points (c) and (d) mentioned in your email.</w:t>
      </w:r>
      <w:r>
        <w:t xml:space="preserve"> You may find useful information on the use of derogations in the </w:t>
      </w:r>
      <w:hyperlink r:id="rId10" w:history="1">
        <w:r w:rsidRPr="00AC0E21">
          <w:rPr>
            <w:rStyle w:val="Hyperlink"/>
          </w:rPr>
          <w:t>EDPB Guidelines 2/2018 on derogations of Article 49 under Regulation 2016/679</w:t>
        </w:r>
      </w:hyperlink>
      <w:r>
        <w:t>.</w:t>
      </w:r>
    </w:p>
    <w:p w14:paraId="00040126" w14:textId="77777777" w:rsidR="00D04AC9" w:rsidRPr="00EB599D" w:rsidRDefault="00D04AC9" w:rsidP="00D04AC9"/>
    <w:p w14:paraId="34ACCFEB" w14:textId="2B9632C1" w:rsidR="00D04AC9" w:rsidRPr="00EB599D" w:rsidRDefault="00D04AC9" w:rsidP="00D04AC9">
      <w:r w:rsidRPr="00EB599D">
        <w:t>Regarding the derogation under Article(50)(1)(c)</w:t>
      </w:r>
      <w:r>
        <w:t xml:space="preserve"> “</w:t>
      </w:r>
      <w:r w:rsidRPr="000356E1">
        <w:t>the transfer is necessary for the conclusion or performance of a contract concluded in the interest of the data subject between the controller and another natural or legal person</w:t>
      </w:r>
      <w:r>
        <w:t>”</w:t>
      </w:r>
      <w:r w:rsidRPr="00EB599D">
        <w:t xml:space="preserve">, although </w:t>
      </w:r>
      <w:r w:rsidRPr="00EB599D">
        <w:rPr>
          <w:shd w:val="clear" w:color="auto" w:fill="FFFFFF"/>
        </w:rPr>
        <w:t>the data subject is not a party to the contract, but the contract with a non-EU based company is signed in his or her interest (</w:t>
      </w:r>
      <w:r w:rsidRPr="00EB599D">
        <w:rPr>
          <w:i/>
          <w:shd w:val="clear" w:color="auto" w:fill="FFFFFF"/>
        </w:rPr>
        <w:t>i.e.</w:t>
      </w:r>
      <w:r w:rsidRPr="00EB599D">
        <w:rPr>
          <w:shd w:val="clear" w:color="auto" w:fill="FFFFFF"/>
        </w:rPr>
        <w:t xml:space="preserve"> his interest is to receive his salary), </w:t>
      </w:r>
      <w:r w:rsidRPr="00EB599D">
        <w:t xml:space="preserve">we note that </w:t>
      </w:r>
      <w:r w:rsidR="00EE25C5">
        <w:t>r</w:t>
      </w:r>
      <w:r w:rsidRPr="00EB599D">
        <w:t xml:space="preserve">ecital 68 provides that </w:t>
      </w:r>
      <w:r w:rsidRPr="00EB599D">
        <w:rPr>
          <w:i/>
        </w:rPr>
        <w:t xml:space="preserve">“Provision should be made in specific situations for the possibility for transfers in certain circumstances (...) where the transfer is </w:t>
      </w:r>
      <w:r w:rsidRPr="00EB599D">
        <w:rPr>
          <w:b/>
          <w:i/>
        </w:rPr>
        <w:t xml:space="preserve">occasional </w:t>
      </w:r>
      <w:r w:rsidRPr="00EB599D">
        <w:rPr>
          <w:i/>
        </w:rPr>
        <w:t>and necessary</w:t>
      </w:r>
      <w:r w:rsidRPr="00EB599D">
        <w:rPr>
          <w:b/>
          <w:i/>
        </w:rPr>
        <w:t xml:space="preserve"> in relation to a contract</w:t>
      </w:r>
      <w:r w:rsidRPr="00EB599D">
        <w:rPr>
          <w:i/>
        </w:rPr>
        <w:t>”</w:t>
      </w:r>
      <w:r>
        <w:t>.</w:t>
      </w:r>
      <w:r w:rsidRPr="00EB599D">
        <w:t xml:space="preserve"> The term “occasional” in </w:t>
      </w:r>
      <w:r w:rsidR="00EE25C5">
        <w:t>r</w:t>
      </w:r>
      <w:r w:rsidRPr="00EB599D">
        <w:t>ecital 68 indicates that such transfers may happen more than once, but not regularly, and would occur outside the regular course of actions. However, in the scenario envisaged</w:t>
      </w:r>
      <w:r w:rsidR="00EE25C5">
        <w:t xml:space="preserve"> in your consultation</w:t>
      </w:r>
      <w:r w:rsidRPr="00EB599D">
        <w:t xml:space="preserve">, data transfers will occur regularly in the course of a stable relationship between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rsidRPr="00EB599D">
        <w:t xml:space="preserve">and the service provider in </w:t>
      </w:r>
      <w:r w:rsidR="00DA2CEF" w:rsidRPr="00EC6CFF">
        <w:rPr>
          <w:lang w:val="en-GB"/>
        </w:rPr>
        <w:t>[</w:t>
      </w:r>
      <w:r w:rsidR="00DA2CEF">
        <w:rPr>
          <w:lang w:val="en-GB"/>
        </w:rPr>
        <w:t>a third country</w:t>
      </w:r>
      <w:r w:rsidR="00DA2CEF" w:rsidRPr="00EC6CFF">
        <w:rPr>
          <w:lang w:val="en-GB"/>
        </w:rPr>
        <w:t>]</w:t>
      </w:r>
      <w:r w:rsidRPr="00EB599D">
        <w:t xml:space="preserve">. </w:t>
      </w:r>
      <w:r w:rsidRPr="00EB599D">
        <w:rPr>
          <w:i/>
        </w:rPr>
        <w:t xml:space="preserve"> </w:t>
      </w:r>
    </w:p>
    <w:p w14:paraId="64B13E4A" w14:textId="77777777" w:rsidR="00D04AC9" w:rsidRPr="00EB599D" w:rsidRDefault="00D04AC9" w:rsidP="00D04AC9"/>
    <w:p w14:paraId="7EAF9554" w14:textId="19449AC7" w:rsidR="00D04AC9" w:rsidRDefault="00D04AC9" w:rsidP="00D04AC9">
      <w:r>
        <w:t>Regarding</w:t>
      </w:r>
      <w:r w:rsidRPr="00EB599D">
        <w:t xml:space="preserve"> the derogation under Article 50(1)(d) “for important reasons of public interest”</w:t>
      </w:r>
      <w:r>
        <w:t>,</w:t>
      </w:r>
      <w:r w:rsidRPr="00EB599D">
        <w:t xml:space="preserve"> the essential requirement for the applica</w:t>
      </w:r>
      <w:r>
        <w:t>tion</w:t>
      </w:r>
      <w:r w:rsidRPr="00EB599D">
        <w:t xml:space="preserve"> of this derogation is the finding of an important public interest that is recognised in Union law</w:t>
      </w:r>
      <w:r>
        <w:t xml:space="preserve">. We consider that such important public interest does not exist in this case and refer you to the examples listed in </w:t>
      </w:r>
      <w:r w:rsidR="00EE25C5">
        <w:t>r</w:t>
      </w:r>
      <w:r>
        <w:t xml:space="preserve">ecital 69 </w:t>
      </w:r>
      <w:r w:rsidRPr="00EB599D">
        <w:t>of Regulation (EU) 2018/1725</w:t>
      </w:r>
      <w:r>
        <w:t>.</w:t>
      </w:r>
    </w:p>
    <w:p w14:paraId="3100A403" w14:textId="77777777" w:rsidR="00D04AC9" w:rsidRPr="00EB599D" w:rsidRDefault="00D04AC9" w:rsidP="00D04AC9">
      <w:r>
        <w:t xml:space="preserve"> </w:t>
      </w:r>
    </w:p>
    <w:p w14:paraId="00A0E188" w14:textId="77777777" w:rsidR="00D04AC9" w:rsidRPr="00EB599D" w:rsidRDefault="00D04AC9" w:rsidP="00D04AC9">
      <w:r w:rsidRPr="00EB599D">
        <w:t xml:space="preserve">Therefore, we consider that </w:t>
      </w:r>
      <w:r w:rsidRPr="0046089F">
        <w:rPr>
          <w:u w:val="single"/>
        </w:rPr>
        <w:t>derogations for specific situations under Article 50 are not applicable in the case at hand</w:t>
      </w:r>
      <w:r w:rsidRPr="00EB599D">
        <w:t xml:space="preserve">. </w:t>
      </w:r>
    </w:p>
    <w:p w14:paraId="36F8DB19" w14:textId="77777777" w:rsidR="00D04AC9" w:rsidRPr="00EB599D" w:rsidRDefault="00D04AC9" w:rsidP="00D04AC9">
      <w:pPr>
        <w:rPr>
          <w:highlight w:val="cyan"/>
        </w:rPr>
      </w:pPr>
    </w:p>
    <w:p w14:paraId="03FA2CDF" w14:textId="5F3168F8" w:rsidR="00D04AC9" w:rsidRPr="00FF6866" w:rsidRDefault="00D04AC9" w:rsidP="00D04AC9">
      <w:pPr>
        <w:rPr>
          <w:b/>
          <w:i/>
        </w:rPr>
      </w:pPr>
      <w:r w:rsidRPr="00FF6866">
        <w:rPr>
          <w:b/>
          <w:i/>
        </w:rPr>
        <w:t xml:space="preserve">2) If </w:t>
      </w:r>
      <w:r w:rsidR="00DA2CEF" w:rsidRPr="00984F3C">
        <w:rPr>
          <w:b/>
          <w:i/>
          <w:lang w:val="en-GB"/>
        </w:rPr>
        <w:t>[the Institution]</w:t>
      </w:r>
      <w:r w:rsidR="00DA2CEF">
        <w:rPr>
          <w:lang w:val="en-GB"/>
        </w:rPr>
        <w:t xml:space="preserve"> </w:t>
      </w:r>
      <w:r w:rsidRPr="00FF6866">
        <w:rPr>
          <w:b/>
          <w:i/>
          <w:u w:val="single"/>
        </w:rPr>
        <w:t>can</w:t>
      </w:r>
      <w:r w:rsidRPr="00FF6866">
        <w:rPr>
          <w:b/>
          <w:i/>
        </w:rPr>
        <w:t xml:space="preserve"> use one of the derogations of Article 50, </w:t>
      </w:r>
      <w:r w:rsidRPr="00984F3C">
        <w:rPr>
          <w:b/>
          <w:i/>
        </w:rPr>
        <w:t xml:space="preserve">can </w:t>
      </w:r>
      <w:r w:rsidR="00DA2CEF" w:rsidRPr="00984F3C">
        <w:rPr>
          <w:b/>
          <w:i/>
          <w:lang w:val="en-GB"/>
        </w:rPr>
        <w:t>[the Institution]</w:t>
      </w:r>
      <w:r w:rsidR="00DA2CEF">
        <w:rPr>
          <w:lang w:val="en-GB"/>
        </w:rPr>
        <w:t xml:space="preserve"> </w:t>
      </w:r>
      <w:r w:rsidRPr="00FF6866">
        <w:rPr>
          <w:b/>
          <w:i/>
        </w:rPr>
        <w:t xml:space="preserve">accept </w:t>
      </w:r>
      <w:r w:rsidRPr="00984F3C">
        <w:rPr>
          <w:b/>
          <w:i/>
        </w:rPr>
        <w:t xml:space="preserve">that </w:t>
      </w:r>
      <w:r w:rsidR="00DA2CEF" w:rsidRPr="00984F3C">
        <w:rPr>
          <w:b/>
          <w:i/>
          <w:lang w:val="en-GB"/>
        </w:rPr>
        <w:t>[the Institution]</w:t>
      </w:r>
      <w:r w:rsidRPr="00FF6866">
        <w:rPr>
          <w:b/>
          <w:i/>
        </w:rPr>
        <w:t xml:space="preserve"> related personal data can be processed in accordance with guarantees provided </w:t>
      </w:r>
      <w:r w:rsidRPr="00984F3C">
        <w:rPr>
          <w:b/>
          <w:i/>
        </w:rPr>
        <w:t xml:space="preserve">by </w:t>
      </w:r>
      <w:r w:rsidR="00984F3C" w:rsidRPr="00984F3C">
        <w:rPr>
          <w:b/>
          <w:i/>
          <w:lang w:val="en-GB"/>
        </w:rPr>
        <w:t>[a third country’s]</w:t>
      </w:r>
      <w:r w:rsidR="00984F3C">
        <w:rPr>
          <w:lang w:val="en-GB"/>
        </w:rPr>
        <w:t xml:space="preserve"> </w:t>
      </w:r>
      <w:r w:rsidRPr="00FF6866">
        <w:rPr>
          <w:b/>
          <w:i/>
        </w:rPr>
        <w:t xml:space="preserve">law? If the answer is no, the data protection provisions should be deleted in the contract and consequently there will be no data protection clauses applicable. </w:t>
      </w:r>
    </w:p>
    <w:p w14:paraId="2F981D56" w14:textId="77777777" w:rsidR="00D04AC9" w:rsidRDefault="00D04AC9" w:rsidP="00D04AC9"/>
    <w:p w14:paraId="79AA3A2A" w14:textId="0594CB0A" w:rsidR="00D04AC9" w:rsidRDefault="00D04AC9" w:rsidP="00D04AC9">
      <w:r>
        <w:t xml:space="preserve">Although we already concluded that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t xml:space="preserve">cannot use the derogations of Article 50 in answer to your first question, we will also provide you with an answer to your second question.  </w:t>
      </w:r>
    </w:p>
    <w:p w14:paraId="128659DE" w14:textId="77777777" w:rsidR="00D04AC9" w:rsidRDefault="00D04AC9" w:rsidP="00D04AC9"/>
    <w:p w14:paraId="47324FD2" w14:textId="53D12CD6" w:rsidR="00D04AC9" w:rsidRPr="00C25D1D" w:rsidRDefault="00D04AC9" w:rsidP="00D04AC9">
      <w:r>
        <w:t xml:space="preserve">As controller, when using derogations,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rsidRPr="00EB599D">
        <w:t xml:space="preserve">cannot simply rely on the guarantees provided by </w:t>
      </w:r>
      <w:r>
        <w:t>a third country’s law</w:t>
      </w:r>
      <w:r w:rsidRPr="00EB599D">
        <w:t xml:space="preserve"> for the processing of personal data </w:t>
      </w:r>
      <w:r>
        <w:t>by its processor</w:t>
      </w:r>
      <w:r w:rsidRPr="00EB599D">
        <w:t>. When applying Article 50</w:t>
      </w:r>
      <w:r>
        <w:t xml:space="preserve"> or any ground for transfer in Chapter V of </w:t>
      </w:r>
      <w:r w:rsidRPr="00EB599D">
        <w:t>Regulation (EU)2018/1725</w:t>
      </w:r>
      <w:r>
        <w:t xml:space="preserve">, </w:t>
      </w:r>
      <w:r w:rsidR="00DA2CEF" w:rsidRPr="00EC6CFF">
        <w:rPr>
          <w:lang w:val="en-GB"/>
        </w:rPr>
        <w:t>[</w:t>
      </w:r>
      <w:r w:rsidR="00DA2CEF">
        <w:rPr>
          <w:lang w:val="en-GB"/>
        </w:rPr>
        <w:t>the Institution</w:t>
      </w:r>
      <w:r w:rsidR="00DA2CEF" w:rsidRPr="00EC6CFF">
        <w:rPr>
          <w:lang w:val="en-GB"/>
        </w:rPr>
        <w:t>]</w:t>
      </w:r>
      <w:r w:rsidRPr="00EB599D">
        <w:t xml:space="preserve"> must bear in mind </w:t>
      </w:r>
      <w:r>
        <w:t xml:space="preserve">the application of </w:t>
      </w:r>
      <w:r w:rsidRPr="00EB599D">
        <w:t xml:space="preserve">Article </w:t>
      </w:r>
      <w:r>
        <w:t xml:space="preserve">46, which </w:t>
      </w:r>
      <w:r w:rsidRPr="00D6686E">
        <w:t xml:space="preserve">provides that any </w:t>
      </w:r>
      <w:r>
        <w:t>international</w:t>
      </w:r>
      <w:r w:rsidRPr="00D6686E">
        <w:t xml:space="preserve"> transfers shall take place </w:t>
      </w:r>
      <w:r>
        <w:rPr>
          <w:b/>
          <w:u w:val="single"/>
        </w:rPr>
        <w:t>only if:</w:t>
      </w:r>
      <w:r w:rsidRPr="00D6686E">
        <w:rPr>
          <w:b/>
          <w:u w:val="single"/>
        </w:rPr>
        <w:t xml:space="preserve"> </w:t>
      </w:r>
    </w:p>
    <w:p w14:paraId="702D11A3" w14:textId="77777777" w:rsidR="00D04AC9" w:rsidRPr="00D6686E" w:rsidRDefault="00D04AC9" w:rsidP="00D04AC9">
      <w:pPr>
        <w:rPr>
          <w:b/>
          <w:u w:val="single"/>
        </w:rPr>
      </w:pPr>
      <w:r w:rsidRPr="00D6686E">
        <w:rPr>
          <w:b/>
          <w:u w:val="single"/>
        </w:rPr>
        <w:t xml:space="preserve">- subject to the other provisions of this Regulation, </w:t>
      </w:r>
    </w:p>
    <w:p w14:paraId="0C0A9F11" w14:textId="77777777" w:rsidR="00D04AC9" w:rsidRPr="00EB599D" w:rsidRDefault="00D04AC9" w:rsidP="00D04AC9">
      <w:r w:rsidRPr="00D6686E">
        <w:rPr>
          <w:b/>
          <w:u w:val="single"/>
        </w:rPr>
        <w:t>- the conditions laid down in Chapter V are complied with by the controller and processor</w:t>
      </w:r>
      <w:r w:rsidRPr="00D6686E">
        <w:t xml:space="preserve">, including for onward transfers of personal data </w:t>
      </w:r>
      <w:r w:rsidRPr="00EB599D">
        <w:t xml:space="preserve">to </w:t>
      </w:r>
      <w:r>
        <w:t>controllers or</w:t>
      </w:r>
      <w:r w:rsidRPr="00EB599D">
        <w:t xml:space="preserve"> processors in the same or another third country</w:t>
      </w:r>
      <w:r>
        <w:t xml:space="preserve">. </w:t>
      </w:r>
      <w:r w:rsidRPr="00EB599D">
        <w:t xml:space="preserve"> </w:t>
      </w:r>
    </w:p>
    <w:p w14:paraId="0E85049A" w14:textId="77777777" w:rsidR="00D04AC9" w:rsidRPr="00EB599D" w:rsidRDefault="00D04AC9" w:rsidP="00D04AC9"/>
    <w:p w14:paraId="200E4EFB" w14:textId="3F3F20BB" w:rsidR="00D04AC9" w:rsidRPr="00C25D1D" w:rsidRDefault="00D04AC9" w:rsidP="00D04AC9">
      <w:r w:rsidRPr="00EB599D">
        <w:t xml:space="preserve">This implies that the use of </w:t>
      </w:r>
      <w:r>
        <w:t>any ground for transfers in Chapter V, including the derogations,</w:t>
      </w:r>
      <w:r w:rsidRPr="00EB599D">
        <w:t xml:space="preserve"> should never lead to a situation where fundamental rights might be breached</w:t>
      </w:r>
      <w:r>
        <w:t xml:space="preserve">. The </w:t>
      </w:r>
      <w:r w:rsidRPr="00D6686E">
        <w:rPr>
          <w:b/>
        </w:rPr>
        <w:t>“other provision</w:t>
      </w:r>
      <w:r>
        <w:rPr>
          <w:b/>
        </w:rPr>
        <w:t>s</w:t>
      </w:r>
      <w:r w:rsidRPr="00D6686E">
        <w:rPr>
          <w:b/>
        </w:rPr>
        <w:t xml:space="preserve"> of this Regulation”</w:t>
      </w:r>
      <w:r>
        <w:rPr>
          <w:b/>
        </w:rPr>
        <w:t xml:space="preserve"> </w:t>
      </w:r>
      <w:r>
        <w:t xml:space="preserve">in particular </w:t>
      </w:r>
      <w:r w:rsidRPr="00C25D1D">
        <w:t xml:space="preserve">include </w:t>
      </w:r>
      <w:r w:rsidRPr="00D6686E">
        <w:rPr>
          <w:b/>
        </w:rPr>
        <w:t>Article 4</w:t>
      </w:r>
      <w:r>
        <w:rPr>
          <w:b/>
        </w:rPr>
        <w:t xml:space="preserve"> </w:t>
      </w:r>
      <w:r w:rsidRPr="00C25D1D">
        <w:t>on the principles relating to processing of personal data</w:t>
      </w:r>
      <w:r>
        <w:rPr>
          <w:b/>
        </w:rPr>
        <w:t xml:space="preserve">, Article </w:t>
      </w:r>
      <w:r w:rsidRPr="008C0817">
        <w:rPr>
          <w:b/>
        </w:rPr>
        <w:t>5</w:t>
      </w:r>
      <w:r w:rsidRPr="00C25D1D">
        <w:t xml:space="preserve"> on the lawfulness of processing and</w:t>
      </w:r>
      <w:r>
        <w:rPr>
          <w:b/>
        </w:rPr>
        <w:t xml:space="preserve"> Article </w:t>
      </w:r>
      <w:r w:rsidRPr="00D6686E">
        <w:rPr>
          <w:b/>
        </w:rPr>
        <w:t xml:space="preserve">29 </w:t>
      </w:r>
      <w:r>
        <w:t xml:space="preserve">on the processor. In case of use of a processor, Article 29 notably obliges the controller (here, </w:t>
      </w:r>
      <w:r w:rsidR="00DA2CEF" w:rsidRPr="00EC6CFF">
        <w:rPr>
          <w:lang w:val="en-GB"/>
        </w:rPr>
        <w:t>[</w:t>
      </w:r>
      <w:r w:rsidR="00DA2CEF">
        <w:rPr>
          <w:lang w:val="en-GB"/>
        </w:rPr>
        <w:t>the Institution</w:t>
      </w:r>
      <w:r w:rsidR="00DA2CEF" w:rsidRPr="00EC6CFF">
        <w:rPr>
          <w:lang w:val="en-GB"/>
        </w:rPr>
        <w:t>]</w:t>
      </w:r>
      <w:r w:rsidRPr="00D6686E">
        <w:t xml:space="preserve">) </w:t>
      </w:r>
      <w:r>
        <w:t xml:space="preserve">to conclude a </w:t>
      </w:r>
      <w:r w:rsidRPr="00D6686E">
        <w:t xml:space="preserve">contract </w:t>
      </w:r>
      <w:r>
        <w:t>or another legally binding arrangement with the</w:t>
      </w:r>
      <w:r w:rsidRPr="00D6686E">
        <w:t xml:space="preserve"> processor (</w:t>
      </w:r>
      <w:r>
        <w:t xml:space="preserve">here, </w:t>
      </w:r>
      <w:r w:rsidR="00984F3C" w:rsidRPr="00EC6CFF">
        <w:rPr>
          <w:lang w:val="en-GB"/>
        </w:rPr>
        <w:t>[</w:t>
      </w:r>
      <w:r w:rsidR="00984F3C">
        <w:rPr>
          <w:lang w:val="en-GB"/>
        </w:rPr>
        <w:t>the service provider</w:t>
      </w:r>
      <w:r w:rsidR="00984F3C" w:rsidRPr="00EC6CFF">
        <w:rPr>
          <w:lang w:val="en-GB"/>
        </w:rPr>
        <w:t>]</w:t>
      </w:r>
      <w:r w:rsidRPr="00D6686E">
        <w:t>).</w:t>
      </w:r>
    </w:p>
    <w:p w14:paraId="5FF8AE27" w14:textId="77777777" w:rsidR="00D04AC9" w:rsidRDefault="00D04AC9" w:rsidP="00D04AC9"/>
    <w:p w14:paraId="623DE622" w14:textId="2F6CE829" w:rsidR="00D04AC9" w:rsidRDefault="00D04AC9" w:rsidP="00D04AC9">
      <w:r w:rsidRPr="00EB599D">
        <w:t>The</w:t>
      </w:r>
      <w:r>
        <w:t xml:space="preserve">refore, we consider that, whichever ground for transfer is used in the case at hand, </w:t>
      </w:r>
      <w:r w:rsidR="00DA2CEF" w:rsidRPr="00EC6CFF">
        <w:rPr>
          <w:lang w:val="en-GB"/>
        </w:rPr>
        <w:t>[</w:t>
      </w:r>
      <w:r w:rsidR="00DA2CEF">
        <w:rPr>
          <w:lang w:val="en-GB"/>
        </w:rPr>
        <w:t>the Institution</w:t>
      </w:r>
      <w:r w:rsidR="00DA2CEF" w:rsidRPr="00EC6CFF">
        <w:rPr>
          <w:lang w:val="en-GB"/>
        </w:rPr>
        <w:t>]</w:t>
      </w:r>
      <w:r w:rsidR="00984F3C">
        <w:rPr>
          <w:lang w:val="en-GB"/>
        </w:rPr>
        <w:t xml:space="preserve"> </w:t>
      </w:r>
      <w:r w:rsidRPr="0046089F">
        <w:rPr>
          <w:u w:val="single"/>
        </w:rPr>
        <w:t xml:space="preserve">related personal data cannot be processed (solely) in accordance with guarantees provided </w:t>
      </w:r>
      <w:r w:rsidRPr="00984F3C">
        <w:rPr>
          <w:u w:val="single"/>
        </w:rPr>
        <w:t xml:space="preserve">by </w:t>
      </w:r>
      <w:r w:rsidR="00984F3C" w:rsidRPr="00984F3C">
        <w:rPr>
          <w:u w:val="single"/>
          <w:lang w:val="en-GB"/>
        </w:rPr>
        <w:t>[</w:t>
      </w:r>
      <w:r w:rsidR="001A5AAB">
        <w:rPr>
          <w:u w:val="single"/>
          <w:lang w:val="en-GB"/>
        </w:rPr>
        <w:t>th</w:t>
      </w:r>
      <w:r w:rsidR="00984F3C" w:rsidRPr="00984F3C">
        <w:rPr>
          <w:u w:val="single"/>
          <w:lang w:val="en-GB"/>
        </w:rPr>
        <w:t>a</w:t>
      </w:r>
      <w:r w:rsidR="001A5AAB">
        <w:rPr>
          <w:u w:val="single"/>
          <w:lang w:val="en-GB"/>
        </w:rPr>
        <w:t>t</w:t>
      </w:r>
      <w:r w:rsidR="00984F3C" w:rsidRPr="00984F3C">
        <w:rPr>
          <w:u w:val="single"/>
          <w:lang w:val="en-GB"/>
        </w:rPr>
        <w:t xml:space="preserve"> third country’s] </w:t>
      </w:r>
      <w:r w:rsidRPr="00984F3C">
        <w:rPr>
          <w:u w:val="single"/>
        </w:rPr>
        <w:t>law</w:t>
      </w:r>
      <w:r w:rsidRPr="00B00A6D">
        <w:t>.</w:t>
      </w:r>
    </w:p>
    <w:p w14:paraId="7BB289A1" w14:textId="77777777" w:rsidR="00D04AC9" w:rsidRPr="00EB599D" w:rsidRDefault="00D04AC9" w:rsidP="00D04AC9"/>
    <w:p w14:paraId="0B56D92E" w14:textId="7CC180A8" w:rsidR="00D04AC9" w:rsidRPr="00FF6866" w:rsidRDefault="00D04AC9" w:rsidP="00D04AC9">
      <w:pPr>
        <w:rPr>
          <w:b/>
          <w:i/>
        </w:rPr>
      </w:pPr>
      <w:r w:rsidRPr="00FF6866">
        <w:rPr>
          <w:b/>
          <w:i/>
        </w:rPr>
        <w:t xml:space="preserve">3) </w:t>
      </w:r>
      <w:r w:rsidRPr="00984F3C">
        <w:rPr>
          <w:b/>
          <w:i/>
        </w:rPr>
        <w:t xml:space="preserve">If </w:t>
      </w:r>
      <w:r w:rsidR="00DA2CEF" w:rsidRPr="00984F3C">
        <w:rPr>
          <w:b/>
          <w:i/>
          <w:lang w:val="en-GB"/>
        </w:rPr>
        <w:t>[the Institution]</w:t>
      </w:r>
      <w:r w:rsidRPr="00984F3C">
        <w:rPr>
          <w:b/>
          <w:i/>
        </w:rPr>
        <w:t xml:space="preserve"> </w:t>
      </w:r>
      <w:r w:rsidRPr="00984F3C">
        <w:rPr>
          <w:b/>
          <w:i/>
          <w:u w:val="single"/>
        </w:rPr>
        <w:t>cannot</w:t>
      </w:r>
      <w:r w:rsidRPr="00984F3C">
        <w:rPr>
          <w:b/>
          <w:i/>
        </w:rPr>
        <w:t xml:space="preserve"> use one of the derogations of Article 50, what is the advisable way for </w:t>
      </w:r>
      <w:r w:rsidR="00DA2CEF" w:rsidRPr="00984F3C">
        <w:rPr>
          <w:b/>
          <w:i/>
          <w:lang w:val="en-GB"/>
        </w:rPr>
        <w:t>[the Institution]</w:t>
      </w:r>
      <w:r w:rsidR="00DA2CEF">
        <w:rPr>
          <w:lang w:val="en-GB"/>
        </w:rPr>
        <w:t xml:space="preserve"> </w:t>
      </w:r>
      <w:r w:rsidRPr="00FF6866">
        <w:rPr>
          <w:b/>
          <w:i/>
        </w:rPr>
        <w:t xml:space="preserve">to proceed? </w:t>
      </w:r>
    </w:p>
    <w:p w14:paraId="1DD67E93" w14:textId="77777777" w:rsidR="00D04AC9" w:rsidRDefault="00D04AC9" w:rsidP="00D04AC9"/>
    <w:p w14:paraId="48C27E1B" w14:textId="73126A8A" w:rsidR="00D04AC9" w:rsidRPr="00284B32" w:rsidRDefault="00D04AC9" w:rsidP="00D04AC9">
      <w:r w:rsidRPr="00284B32">
        <w:t>You have explained that you have proposed to sign controller</w:t>
      </w:r>
      <w:r>
        <w:t>-</w:t>
      </w:r>
      <w:r w:rsidRPr="00284B32">
        <w:t xml:space="preserve">processor model clauses with the envisaged processor, which applies </w:t>
      </w:r>
      <w:r w:rsidR="00984F3C" w:rsidRPr="00EC6CFF">
        <w:rPr>
          <w:lang w:val="en-GB"/>
        </w:rPr>
        <w:t>[</w:t>
      </w:r>
      <w:r w:rsidR="00984F3C">
        <w:rPr>
          <w:lang w:val="en-GB"/>
        </w:rPr>
        <w:t>a third country’s</w:t>
      </w:r>
      <w:r w:rsidR="00984F3C" w:rsidRPr="00EC6CFF">
        <w:rPr>
          <w:lang w:val="en-GB"/>
        </w:rPr>
        <w:t>]</w:t>
      </w:r>
      <w:r w:rsidR="00984F3C">
        <w:rPr>
          <w:lang w:val="en-GB"/>
        </w:rPr>
        <w:t xml:space="preserve"> </w:t>
      </w:r>
      <w:r w:rsidRPr="00284B32">
        <w:t>data protection law and</w:t>
      </w:r>
      <w:r>
        <w:t xml:space="preserve"> is </w:t>
      </w:r>
      <w:r w:rsidRPr="00284B32">
        <w:t xml:space="preserve">not bound by Regulation (EU) 2018/1725, but that it </w:t>
      </w:r>
      <w:r>
        <w:t>has</w:t>
      </w:r>
      <w:r w:rsidRPr="00284B32">
        <w:t xml:space="preserve"> not </w:t>
      </w:r>
      <w:r>
        <w:t xml:space="preserve">been </w:t>
      </w:r>
      <w:r w:rsidRPr="00284B32">
        <w:t>possible</w:t>
      </w:r>
      <w:r>
        <w:t xml:space="preserve"> so far</w:t>
      </w:r>
      <w:r w:rsidRPr="00284B32">
        <w:t xml:space="preserve"> to reach an agreement.</w:t>
      </w:r>
    </w:p>
    <w:p w14:paraId="686CAE31" w14:textId="77777777" w:rsidR="00D04AC9" w:rsidRPr="00284B32" w:rsidRDefault="00D04AC9" w:rsidP="00D04AC9"/>
    <w:p w14:paraId="2C638C95" w14:textId="5574ACBD" w:rsidR="00D04AC9" w:rsidRPr="00284B32" w:rsidRDefault="00D04AC9" w:rsidP="00D04AC9">
      <w:pPr>
        <w:kinsoku w:val="0"/>
        <w:overflowPunct w:val="0"/>
        <w:contextualSpacing/>
        <w:textAlignment w:val="baseline"/>
        <w:rPr>
          <w:rFonts w:eastAsia="Arial"/>
        </w:rPr>
      </w:pPr>
      <w:r>
        <w:rPr>
          <w:rFonts w:eastAsia="Arial"/>
        </w:rPr>
        <w:t>Because of</w:t>
      </w:r>
      <w:r w:rsidRPr="00284B32">
        <w:rPr>
          <w:rFonts w:eastAsia="Arial"/>
        </w:rPr>
        <w:t xml:space="preserve"> the fact that the processor is not bound by </w:t>
      </w:r>
      <w:r w:rsidRPr="00284B32">
        <w:t>Regulation (EU) 2018/1725</w:t>
      </w:r>
      <w:r w:rsidRPr="00284B32">
        <w:rPr>
          <w:rFonts w:eastAsia="Arial"/>
        </w:rPr>
        <w:t xml:space="preserve">, </w:t>
      </w:r>
      <w:r w:rsidR="00DA2CEF" w:rsidRPr="00EC6CFF">
        <w:rPr>
          <w:lang w:val="en-GB"/>
        </w:rPr>
        <w:t>[</w:t>
      </w:r>
      <w:r w:rsidR="00DA2CEF">
        <w:rPr>
          <w:lang w:val="en-GB"/>
        </w:rPr>
        <w:t>the Institution</w:t>
      </w:r>
      <w:r w:rsidR="00DA2CEF" w:rsidRPr="00EC6CFF">
        <w:rPr>
          <w:lang w:val="en-GB"/>
        </w:rPr>
        <w:t>]</w:t>
      </w:r>
      <w:r w:rsidRPr="00284B32">
        <w:rPr>
          <w:rFonts w:eastAsia="Arial"/>
        </w:rPr>
        <w:t xml:space="preserve">, being the controller and an EU </w:t>
      </w:r>
      <w:r>
        <w:rPr>
          <w:rFonts w:eastAsia="Arial"/>
        </w:rPr>
        <w:t>institution</w:t>
      </w:r>
      <w:r w:rsidRPr="00284B32">
        <w:rPr>
          <w:rFonts w:eastAsia="Arial"/>
        </w:rPr>
        <w:t>, must ensure that the transfer of its personal data is based on one of the grounds for transfer</w:t>
      </w:r>
      <w:r>
        <w:rPr>
          <w:rFonts w:eastAsia="Arial"/>
        </w:rPr>
        <w:t>s</w:t>
      </w:r>
      <w:r w:rsidRPr="00284B32">
        <w:rPr>
          <w:rFonts w:eastAsia="Arial"/>
        </w:rPr>
        <w:t xml:space="preserve"> under Chapter V and that the </w:t>
      </w:r>
      <w:r w:rsidR="00984F3C" w:rsidRPr="00EC6CFF">
        <w:rPr>
          <w:lang w:val="en-GB"/>
        </w:rPr>
        <w:t>[</w:t>
      </w:r>
      <w:r w:rsidR="00984F3C">
        <w:rPr>
          <w:lang w:val="en-GB"/>
        </w:rPr>
        <w:t>service provider</w:t>
      </w:r>
      <w:r w:rsidR="00984F3C" w:rsidRPr="00EC6CFF">
        <w:rPr>
          <w:lang w:val="en-GB"/>
        </w:rPr>
        <w:t>]</w:t>
      </w:r>
      <w:r w:rsidRPr="00284B32">
        <w:t>, being the processor,</w:t>
      </w:r>
      <w:r w:rsidRPr="00284B32">
        <w:rPr>
          <w:rFonts w:eastAsia="Arial"/>
        </w:rPr>
        <w:t xml:space="preserve"> is able to demonstrate that appropriate guarantees and safeguards are in place for the processing of personal data it receives and processes on behalf of </w:t>
      </w:r>
      <w:r w:rsidR="00DA2CEF" w:rsidRPr="00EC6CFF">
        <w:rPr>
          <w:lang w:val="en-GB"/>
        </w:rPr>
        <w:t>[</w:t>
      </w:r>
      <w:r w:rsidR="00DA2CEF">
        <w:rPr>
          <w:lang w:val="en-GB"/>
        </w:rPr>
        <w:t>the Institution</w:t>
      </w:r>
      <w:r w:rsidR="00DA2CEF" w:rsidRPr="00EC6CFF">
        <w:rPr>
          <w:lang w:val="en-GB"/>
        </w:rPr>
        <w:t>]</w:t>
      </w:r>
      <w:r w:rsidRPr="00284B32">
        <w:rPr>
          <w:rFonts w:eastAsia="Arial"/>
        </w:rPr>
        <w:t xml:space="preserve">. </w:t>
      </w:r>
    </w:p>
    <w:p w14:paraId="0214F07F" w14:textId="77777777" w:rsidR="00D04AC9" w:rsidRPr="00284B32" w:rsidRDefault="00D04AC9" w:rsidP="00D04AC9">
      <w:pPr>
        <w:kinsoku w:val="0"/>
        <w:overflowPunct w:val="0"/>
        <w:contextualSpacing/>
        <w:textAlignment w:val="baseline"/>
        <w:rPr>
          <w:rFonts w:eastAsia="Arial"/>
        </w:rPr>
      </w:pPr>
    </w:p>
    <w:p w14:paraId="785AECBC" w14:textId="7813B396" w:rsidR="00D04AC9" w:rsidRPr="00D04AC9" w:rsidRDefault="00D04AC9" w:rsidP="00D04AC9">
      <w:r w:rsidRPr="00D04AC9">
        <w:t xml:space="preserve">As regard the proper legal ground for transfers of personal data to a processor located in a third country, Article 48(1) of Regulation (EU) 2018/1725 is applicable in the case at hand, which states that in the absence of an adequacy decision, the EUI may transfer personal data to a recipient in a third country, only if it has </w:t>
      </w:r>
      <w:r w:rsidRPr="00D04AC9">
        <w:rPr>
          <w:b/>
        </w:rPr>
        <w:t>provided appropriate safeguards</w:t>
      </w:r>
      <w:r w:rsidRPr="00D04AC9">
        <w:t xml:space="preserve"> and on condition that </w:t>
      </w:r>
      <w:r w:rsidRPr="00D04AC9">
        <w:rPr>
          <w:b/>
        </w:rPr>
        <w:t>enforceable</w:t>
      </w:r>
      <w:r w:rsidRPr="00D04AC9">
        <w:t xml:space="preserve"> </w:t>
      </w:r>
      <w:r w:rsidRPr="00D04AC9">
        <w:rPr>
          <w:b/>
        </w:rPr>
        <w:t>data subject rights and effective legal remedies for data subjects are available</w:t>
      </w:r>
      <w:r w:rsidRPr="00D04AC9">
        <w:t xml:space="preserve">. There are currently no standard contractual clauses for controller-processor adopted by the Commission or the EDPS under Article 48(2)(b) or (c). Thus, such appropriate safeguards may be provided by </w:t>
      </w:r>
      <w:r w:rsidR="00DA2CEF" w:rsidRPr="00EC6CFF">
        <w:rPr>
          <w:lang w:val="en-GB"/>
        </w:rPr>
        <w:t>[</w:t>
      </w:r>
      <w:r w:rsidR="00DA2CEF">
        <w:rPr>
          <w:lang w:val="en-GB"/>
        </w:rPr>
        <w:t>the Institution</w:t>
      </w:r>
      <w:r w:rsidR="00DA2CEF" w:rsidRPr="00EC6CFF">
        <w:rPr>
          <w:lang w:val="en-GB"/>
        </w:rPr>
        <w:t>]</w:t>
      </w:r>
      <w:r w:rsidR="00DA2CEF">
        <w:rPr>
          <w:lang w:val="en-GB"/>
        </w:rPr>
        <w:t xml:space="preserve"> </w:t>
      </w:r>
      <w:r w:rsidRPr="00D04AC9">
        <w:t>and the processor in the case at hand by:</w:t>
      </w:r>
    </w:p>
    <w:p w14:paraId="5338D5C5" w14:textId="26DD7509" w:rsidR="00D04AC9" w:rsidRPr="00284B32" w:rsidRDefault="00D04AC9" w:rsidP="00D04AC9">
      <w:r w:rsidRPr="00D04AC9">
        <w:t xml:space="preserve">- binding corporate rules approved by the competent supervisory authority pursuant to Article 46(2)(b) of the GDPR (Article 48(2)(d) of Regulation (EU) 2018/1725). However, to our knowledge, </w:t>
      </w:r>
      <w:r w:rsidR="00984F3C" w:rsidRPr="00EC6CFF">
        <w:rPr>
          <w:lang w:val="en-GB"/>
        </w:rPr>
        <w:t>[</w:t>
      </w:r>
      <w:r w:rsidR="00984F3C">
        <w:rPr>
          <w:lang w:val="en-GB"/>
        </w:rPr>
        <w:t>the service provider</w:t>
      </w:r>
      <w:r w:rsidR="00984F3C" w:rsidRPr="00EC6CFF">
        <w:rPr>
          <w:lang w:val="en-GB"/>
        </w:rPr>
        <w:t>]</w:t>
      </w:r>
      <w:r w:rsidR="00984F3C">
        <w:rPr>
          <w:lang w:val="en-GB"/>
        </w:rPr>
        <w:t xml:space="preserve"> </w:t>
      </w:r>
      <w:r w:rsidRPr="00D04AC9">
        <w:t xml:space="preserve">does not (yet) have such approved binding corporate rules for controllers </w:t>
      </w:r>
      <w:r w:rsidRPr="0079473D">
        <w:t>and for processors</w:t>
      </w:r>
      <w:r>
        <w:t xml:space="preserve">; </w:t>
      </w:r>
      <w:r w:rsidRPr="00284B32">
        <w:t>or</w:t>
      </w:r>
    </w:p>
    <w:p w14:paraId="466DBF82" w14:textId="77777777" w:rsidR="00D04AC9" w:rsidRDefault="00D04AC9" w:rsidP="00D04AC9">
      <w:r w:rsidRPr="00284B32">
        <w:t xml:space="preserve">- </w:t>
      </w:r>
      <w:r>
        <w:t xml:space="preserve">contractual clauses between the controller and the processor in the third country </w:t>
      </w:r>
      <w:r w:rsidRPr="00D6686E">
        <w:t xml:space="preserve">subject to </w:t>
      </w:r>
      <w:r>
        <w:t xml:space="preserve">the </w:t>
      </w:r>
      <w:r w:rsidRPr="00D6686E">
        <w:t>authorisation from the EDPS</w:t>
      </w:r>
      <w:r>
        <w:t xml:space="preserve"> </w:t>
      </w:r>
      <w:r w:rsidRPr="00284B32">
        <w:t>(Article 48(3)(</w:t>
      </w:r>
      <w:r>
        <w:t>a</w:t>
      </w:r>
      <w:r w:rsidRPr="00284B32">
        <w:t>) of Regulation (EU) 2018/1725)</w:t>
      </w:r>
      <w:r>
        <w:rPr>
          <w:rStyle w:val="FootnoteReference"/>
        </w:rPr>
        <w:footnoteReference w:id="2"/>
      </w:r>
      <w:r w:rsidRPr="00284B32">
        <w:t>.</w:t>
      </w:r>
    </w:p>
    <w:p w14:paraId="7B58A900" w14:textId="77777777" w:rsidR="00D04AC9" w:rsidRDefault="00D04AC9" w:rsidP="00D04AC9"/>
    <w:p w14:paraId="13586FD8" w14:textId="77777777" w:rsidR="00D04AC9" w:rsidRDefault="00D04AC9" w:rsidP="00D04AC9">
      <w:r>
        <w:t xml:space="preserve">Furthermore, the EUI must inform the EDPS of the categories of cases in which Article 48 has been applied. </w:t>
      </w:r>
    </w:p>
    <w:p w14:paraId="42C77B46" w14:textId="77777777" w:rsidR="00D04AC9" w:rsidRPr="00284B32" w:rsidRDefault="00D04AC9" w:rsidP="00D04AC9"/>
    <w:p w14:paraId="79D1030B" w14:textId="18DF9158" w:rsidR="00D04AC9" w:rsidRDefault="00D04AC9" w:rsidP="00D04AC9">
      <w:r w:rsidRPr="00284B32">
        <w:t xml:space="preserve">Besides finding the proper legal ground for transfers, we invite </w:t>
      </w:r>
      <w:r w:rsidR="00DA2CEF" w:rsidRPr="00EC6CFF">
        <w:rPr>
          <w:lang w:val="en-GB"/>
        </w:rPr>
        <w:t>[</w:t>
      </w:r>
      <w:r w:rsidR="00DA2CEF">
        <w:rPr>
          <w:lang w:val="en-GB"/>
        </w:rPr>
        <w:t>the Institution</w:t>
      </w:r>
      <w:r w:rsidR="00DA2CEF" w:rsidRPr="00EC6CFF">
        <w:rPr>
          <w:lang w:val="en-GB"/>
        </w:rPr>
        <w:t>]</w:t>
      </w:r>
      <w:r w:rsidRPr="00284B32">
        <w:t>, as the controller, to read the EDPS Guidelines on the concepts of controller, processor and joint controllership under Regulation (EU) 2018/1725</w:t>
      </w:r>
      <w:r>
        <w:t xml:space="preserve"> (available at: </w:t>
      </w:r>
      <w:hyperlink r:id="rId11" w:history="1">
        <w:r w:rsidRPr="00EB3DEC">
          <w:rPr>
            <w:rStyle w:val="Hyperlink"/>
          </w:rPr>
          <w:t>https://edps.europa.eu/sites/edp/files/publication/19-11-07_edps_guidelines_on_controller_processor_and_jc_reg_2018_1725_en.pdf</w:t>
        </w:r>
      </w:hyperlink>
      <w:r>
        <w:t xml:space="preserve">), in particular section 4.2 relating to the choice of the processor. Indeed, in line with </w:t>
      </w:r>
      <w:r w:rsidRPr="008C0817">
        <w:rPr>
          <w:b/>
        </w:rPr>
        <w:t>Ar</w:t>
      </w:r>
      <w:r w:rsidRPr="008C0817">
        <w:rPr>
          <w:rFonts w:ascii="Calibri" w:hAnsi="Calibri" w:cs="Calibri"/>
          <w:b/>
        </w:rPr>
        <w:t>ti</w:t>
      </w:r>
      <w:r w:rsidRPr="008C0817">
        <w:rPr>
          <w:b/>
        </w:rPr>
        <w:t>cle 26</w:t>
      </w:r>
      <w:r>
        <w:t xml:space="preserve"> (and recital 45) of Regulation (EU) 2018/1725, the controller is obliged to put in place or to have put in place appropriate and effec</w:t>
      </w:r>
      <w:r>
        <w:rPr>
          <w:rFonts w:ascii="Calibri" w:hAnsi="Calibri" w:cs="Calibri"/>
        </w:rPr>
        <w:t>ti</w:t>
      </w:r>
      <w:r>
        <w:t>ve measures taking into account the nature, scope, context and purposes of the processing and the risks to the rights and freedoms of natural persons.</w:t>
      </w:r>
    </w:p>
    <w:p w14:paraId="626EBC4C" w14:textId="77777777" w:rsidR="00D04AC9" w:rsidRDefault="00D04AC9" w:rsidP="00D04AC9"/>
    <w:p w14:paraId="4D3AA0D3" w14:textId="53D7A3DA" w:rsidR="00D04AC9" w:rsidRDefault="00D04AC9" w:rsidP="00D04AC9">
      <w:r>
        <w:t xml:space="preserve">In light of the above, </w:t>
      </w:r>
      <w:r w:rsidRPr="00B03946">
        <w:rPr>
          <w:u w:val="single"/>
        </w:rPr>
        <w:t xml:space="preserve">we urge </w:t>
      </w:r>
      <w:r w:rsidR="00DA2CEF" w:rsidRPr="00984F3C">
        <w:rPr>
          <w:u w:val="single"/>
          <w:lang w:val="en-GB"/>
        </w:rPr>
        <w:t>[the Institution]</w:t>
      </w:r>
      <w:r w:rsidR="00984F3C" w:rsidRPr="00984F3C">
        <w:rPr>
          <w:u w:val="single"/>
          <w:lang w:val="en-GB"/>
        </w:rPr>
        <w:t xml:space="preserve"> </w:t>
      </w:r>
      <w:r w:rsidRPr="00B03946">
        <w:rPr>
          <w:u w:val="single"/>
        </w:rPr>
        <w:t xml:space="preserve">not to consider engaging any processor </w:t>
      </w:r>
      <w:r w:rsidR="00984F3C">
        <w:rPr>
          <w:u w:val="single"/>
        </w:rPr>
        <w:t xml:space="preserve"> </w:t>
      </w:r>
      <w:r w:rsidRPr="00B03946">
        <w:rPr>
          <w:u w:val="single"/>
        </w:rPr>
        <w:t>(or sub-processor) that is not willing to provide sufficient guarantees to implement appropriate technical and organisational measures in such a manner that processing will meet the requirements of Regulation (EU) 2018/1725 and ensure the protection of the rights of data subjects</w:t>
      </w:r>
      <w:r>
        <w:t>.</w:t>
      </w:r>
    </w:p>
    <w:p w14:paraId="5D38AA19" w14:textId="77777777" w:rsidR="00D04AC9" w:rsidRPr="00EB599D" w:rsidRDefault="00D04AC9" w:rsidP="00D04AC9"/>
    <w:p w14:paraId="467E821C" w14:textId="25F7FE66" w:rsidR="00D04AC9" w:rsidRPr="00EE25C5" w:rsidRDefault="00D04AC9" w:rsidP="00D04AC9">
      <w:pPr>
        <w:rPr>
          <w:lang w:val="en-GB"/>
        </w:rPr>
      </w:pPr>
      <w:r w:rsidRPr="00D6686E">
        <w:rPr>
          <w:lang w:val="en-GB"/>
        </w:rPr>
        <w:t>We hope this information was useful. Should you have any doubts, please do not hesitate to contact us.</w:t>
      </w:r>
    </w:p>
    <w:p w14:paraId="702B2D16" w14:textId="6F98920A" w:rsidR="0035021F" w:rsidRDefault="0035021F" w:rsidP="0035021F">
      <w:pPr>
        <w:rPr>
          <w:lang w:val="en-GB"/>
        </w:rPr>
      </w:pPr>
    </w:p>
    <w:p w14:paraId="4B278EEE" w14:textId="47A31FB2" w:rsidR="00EE25C5" w:rsidRDefault="00EE25C5" w:rsidP="0035021F">
      <w:pPr>
        <w:rPr>
          <w:lang w:val="en-GB"/>
        </w:rPr>
      </w:pPr>
    </w:p>
    <w:p w14:paraId="5803C455" w14:textId="77777777" w:rsidR="00EE25C5" w:rsidRPr="00D6686E" w:rsidRDefault="00EE25C5" w:rsidP="0035021F">
      <w:pPr>
        <w:rPr>
          <w:lang w:val="en-GB"/>
        </w:rPr>
      </w:pPr>
    </w:p>
    <w:p w14:paraId="436DA3B2" w14:textId="77777777" w:rsidR="0035021F" w:rsidRPr="005903A4" w:rsidRDefault="0035021F" w:rsidP="0035021F">
      <w:pPr>
        <w:rPr>
          <w:lang w:val="en-GB"/>
        </w:rPr>
      </w:pPr>
      <w:r w:rsidRPr="005903A4">
        <w:rPr>
          <w:lang w:val="en-GB"/>
        </w:rPr>
        <w:t>Yours sincerely,</w:t>
      </w:r>
    </w:p>
    <w:p w14:paraId="602DC37F" w14:textId="77777777" w:rsidR="0035021F" w:rsidRPr="005903A4" w:rsidRDefault="0035021F" w:rsidP="0035021F">
      <w:pPr>
        <w:rPr>
          <w:lang w:val="en-GB"/>
        </w:rPr>
      </w:pPr>
    </w:p>
    <w:p w14:paraId="56B1C530" w14:textId="77777777" w:rsidR="0035021F" w:rsidRPr="005903A4" w:rsidRDefault="0035021F" w:rsidP="0035021F">
      <w:pPr>
        <w:rPr>
          <w:lang w:val="en-GB"/>
        </w:rPr>
      </w:pPr>
    </w:p>
    <w:p w14:paraId="4D1BA3E8" w14:textId="77777777" w:rsidR="00DE50C6" w:rsidRDefault="00DE50C6" w:rsidP="0035021F">
      <w:pPr>
        <w:rPr>
          <w:lang w:val="en-GB"/>
        </w:rPr>
      </w:pPr>
      <w:r>
        <w:rPr>
          <w:lang w:val="en-GB"/>
        </w:rPr>
        <w:t>(signed)</w:t>
      </w:r>
    </w:p>
    <w:p w14:paraId="1D688617" w14:textId="77777777" w:rsidR="00DE50C6" w:rsidRDefault="00DE50C6" w:rsidP="0035021F">
      <w:pPr>
        <w:rPr>
          <w:lang w:val="en-GB"/>
        </w:rPr>
      </w:pPr>
    </w:p>
    <w:p w14:paraId="1278D931" w14:textId="77777777" w:rsidR="00DE50C6" w:rsidRDefault="00DE50C6" w:rsidP="0035021F">
      <w:pPr>
        <w:rPr>
          <w:lang w:val="en-GB"/>
        </w:rPr>
      </w:pPr>
    </w:p>
    <w:p w14:paraId="7CE6AB69" w14:textId="4DECDA20" w:rsidR="0035021F" w:rsidRPr="005903A4" w:rsidRDefault="00D04AC9" w:rsidP="0035021F">
      <w:pPr>
        <w:rPr>
          <w:lang w:val="en-GB"/>
        </w:rPr>
      </w:pPr>
      <w:r w:rsidRPr="005903A4">
        <w:rPr>
          <w:lang w:val="en-GB"/>
        </w:rPr>
        <w:t xml:space="preserve">Delphine HAROU </w:t>
      </w:r>
    </w:p>
    <w:p w14:paraId="384AC757" w14:textId="77777777" w:rsidR="0035021F" w:rsidRPr="005903A4" w:rsidRDefault="0035021F" w:rsidP="0035021F">
      <w:pPr>
        <w:rPr>
          <w:lang w:val="en-GB"/>
        </w:rPr>
      </w:pPr>
    </w:p>
    <w:p w14:paraId="0AE517CC" w14:textId="77777777" w:rsidR="00DE50C6" w:rsidRDefault="00DE50C6" w:rsidP="0035021F">
      <w:pPr>
        <w:rPr>
          <w:szCs w:val="20"/>
          <w:lang w:val="en-GB"/>
        </w:rPr>
      </w:pPr>
    </w:p>
    <w:p w14:paraId="3E807156" w14:textId="77777777" w:rsidR="00DE50C6" w:rsidRDefault="00DE50C6" w:rsidP="0035021F">
      <w:pPr>
        <w:rPr>
          <w:szCs w:val="20"/>
          <w:lang w:val="en-GB"/>
        </w:rPr>
      </w:pPr>
    </w:p>
    <w:p w14:paraId="7C61066A" w14:textId="77777777" w:rsidR="00DE50C6" w:rsidRDefault="00DE50C6" w:rsidP="0035021F">
      <w:pPr>
        <w:rPr>
          <w:szCs w:val="20"/>
          <w:lang w:val="en-GB"/>
        </w:rPr>
      </w:pPr>
    </w:p>
    <w:p w14:paraId="038E53B1" w14:textId="77777777" w:rsidR="00DE50C6" w:rsidRDefault="00DE50C6" w:rsidP="0035021F">
      <w:pPr>
        <w:rPr>
          <w:szCs w:val="20"/>
          <w:lang w:val="en-GB"/>
        </w:rPr>
      </w:pPr>
    </w:p>
    <w:p w14:paraId="399191D6" w14:textId="2461B3A6" w:rsidR="0035021F" w:rsidRPr="005903A4" w:rsidRDefault="00D94488" w:rsidP="00984F3C">
      <w:pPr>
        <w:rPr>
          <w:lang w:val="en-GB"/>
        </w:rPr>
      </w:pPr>
      <w:r w:rsidRPr="00CE1C0F">
        <w:rPr>
          <w:szCs w:val="20"/>
          <w:lang w:val="en-GB"/>
        </w:rPr>
        <w:t>Cc:</w:t>
      </w:r>
      <w:r w:rsidR="005903A4" w:rsidRPr="00CE1C0F">
        <w:rPr>
          <w:lang w:val="en-GB"/>
        </w:rPr>
        <w:t xml:space="preserve"> </w:t>
      </w:r>
      <w:r w:rsidR="005903A4" w:rsidRPr="00CE1C0F">
        <w:rPr>
          <w:lang w:val="en-GB"/>
        </w:rPr>
        <w:tab/>
      </w:r>
      <w:r w:rsidR="00984F3C">
        <w:t>[...]</w:t>
      </w:r>
    </w:p>
    <w:p w14:paraId="2519C916" w14:textId="77777777" w:rsidR="006D1478" w:rsidRPr="005903A4" w:rsidRDefault="006D1478">
      <w:pPr>
        <w:rPr>
          <w:lang w:val="en-GB"/>
        </w:rPr>
      </w:pPr>
    </w:p>
    <w:sectPr w:rsidR="006D1478" w:rsidRPr="005903A4" w:rsidSect="002378C8">
      <w:headerReference w:type="default" r:id="rId12"/>
      <w:footerReference w:type="default" r:id="rId13"/>
      <w:headerReference w:type="first" r:id="rId14"/>
      <w:footerReference w:type="first" r:id="rId15"/>
      <w:pgSz w:w="11906" w:h="16838" w:code="9"/>
      <w:pgMar w:top="1134" w:right="1418" w:bottom="1134"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A7FF" w14:textId="77777777" w:rsidR="00B263F0" w:rsidRDefault="00B263F0">
      <w:r>
        <w:separator/>
      </w:r>
    </w:p>
  </w:endnote>
  <w:endnote w:type="continuationSeparator" w:id="0">
    <w:p w14:paraId="2DAEF133" w14:textId="77777777" w:rsidR="00B263F0" w:rsidRDefault="00B2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93818"/>
      <w:docPartObj>
        <w:docPartGallery w:val="Page Numbers (Bottom of Page)"/>
        <w:docPartUnique/>
      </w:docPartObj>
    </w:sdtPr>
    <w:sdtEndPr>
      <w:rPr>
        <w:noProof/>
      </w:rPr>
    </w:sdtEndPr>
    <w:sdtContent>
      <w:p w14:paraId="64FDB41B" w14:textId="1BAE8E2D" w:rsidR="00DE50C6" w:rsidRDefault="00DE50C6">
        <w:pPr>
          <w:pStyle w:val="Footer"/>
          <w:jc w:val="right"/>
        </w:pPr>
        <w:r>
          <w:fldChar w:fldCharType="begin"/>
        </w:r>
        <w:r>
          <w:instrText xml:space="preserve"> PAGE   \* MERGEFORMAT </w:instrText>
        </w:r>
        <w:r>
          <w:fldChar w:fldCharType="separate"/>
        </w:r>
        <w:r w:rsidR="008A7E1E">
          <w:rPr>
            <w:noProof/>
          </w:rPr>
          <w:t>2</w:t>
        </w:r>
        <w:r>
          <w:rPr>
            <w:noProof/>
          </w:rPr>
          <w:fldChar w:fldCharType="end"/>
        </w:r>
      </w:p>
    </w:sdtContent>
  </w:sdt>
  <w:p w14:paraId="03560D2A" w14:textId="77777777" w:rsidR="00962097" w:rsidRDefault="0096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48CB" w14:textId="77777777" w:rsidR="00F223EC" w:rsidRDefault="00F223EC" w:rsidP="00F223EC">
    <w:pPr>
      <w:pStyle w:val="Footer"/>
      <w:pBdr>
        <w:top w:val="single" w:sz="4" w:space="1" w:color="auto"/>
      </w:pBdr>
      <w:jc w:val="center"/>
      <w:rPr>
        <w:sz w:val="20"/>
      </w:rPr>
    </w:pPr>
    <w:r>
      <w:rPr>
        <w:sz w:val="20"/>
      </w:rPr>
      <w:t>Postal address: rue Wiertz 60 - B-1047 Brussels</w:t>
    </w:r>
  </w:p>
  <w:p w14:paraId="33305190" w14:textId="77777777" w:rsidR="00F223EC" w:rsidRDefault="00F223EC" w:rsidP="00F223EC">
    <w:pPr>
      <w:pStyle w:val="Footer"/>
      <w:pBdr>
        <w:top w:val="single" w:sz="4" w:space="1" w:color="auto"/>
      </w:pBdr>
      <w:jc w:val="center"/>
      <w:rPr>
        <w:sz w:val="20"/>
      </w:rPr>
    </w:pPr>
    <w:r>
      <w:rPr>
        <w:sz w:val="20"/>
      </w:rPr>
      <w:t>Offices: rue Montoyer 30 - B-1000 Brussels</w:t>
    </w:r>
  </w:p>
  <w:p w14:paraId="5FB5D588" w14:textId="77777777" w:rsidR="00F223EC" w:rsidRDefault="00CF79CD" w:rsidP="00F223EC">
    <w:pPr>
      <w:pStyle w:val="Footer"/>
      <w:jc w:val="center"/>
      <w:rPr>
        <w:sz w:val="20"/>
        <w:lang w:val="pt-PT"/>
      </w:rPr>
    </w:pPr>
    <w:r>
      <w:rPr>
        <w:sz w:val="20"/>
        <w:lang w:val="pt-PT"/>
      </w:rPr>
      <w:t>E-mail</w:t>
    </w:r>
    <w:r w:rsidR="00F223EC">
      <w:rPr>
        <w:sz w:val="20"/>
        <w:lang w:val="pt-PT"/>
      </w:rPr>
      <w:t xml:space="preserve">: </w:t>
    </w:r>
    <w:hyperlink r:id="rId1" w:history="1">
      <w:r w:rsidR="00F223EC">
        <w:rPr>
          <w:rStyle w:val="Hyperlink"/>
          <w:sz w:val="20"/>
          <w:lang w:val="pt-PT"/>
        </w:rPr>
        <w:t>edps@edps.europa.eu</w:t>
      </w:r>
    </w:hyperlink>
    <w:r w:rsidR="00F223EC">
      <w:rPr>
        <w:sz w:val="20"/>
        <w:lang w:val="pt-PT"/>
      </w:rPr>
      <w:t xml:space="preserve"> - Website: </w:t>
    </w:r>
    <w:hyperlink r:id="rId2" w:history="1">
      <w:r w:rsidR="00F223EC">
        <w:rPr>
          <w:rStyle w:val="Hyperlink"/>
          <w:sz w:val="20"/>
          <w:lang w:val="pt-PT"/>
        </w:rPr>
        <w:t>www.edps.europa.eu</w:t>
      </w:r>
    </w:hyperlink>
    <w:r w:rsidR="00F223EC">
      <w:rPr>
        <w:sz w:val="20"/>
        <w:lang w:val="pt-PT"/>
      </w:rPr>
      <w:t xml:space="preserve"> </w:t>
    </w:r>
  </w:p>
  <w:p w14:paraId="5DCDA28A" w14:textId="77777777" w:rsidR="00007EB6" w:rsidRPr="00F223EC" w:rsidRDefault="00CF79CD" w:rsidP="00F223EC">
    <w:pPr>
      <w:pStyle w:val="Footer"/>
      <w:jc w:val="center"/>
    </w:pPr>
    <w:r>
      <w:rPr>
        <w:sz w:val="20"/>
      </w:rPr>
      <w:t xml:space="preserve">Tel.: 32 2-283 19 00 - Fax: 32 </w:t>
    </w:r>
    <w:r w:rsidR="00F223EC">
      <w:rPr>
        <w:sz w:val="20"/>
      </w:rPr>
      <w:t>2-283 19 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0790" w14:textId="77777777" w:rsidR="00B263F0" w:rsidRDefault="00B263F0">
      <w:r>
        <w:separator/>
      </w:r>
    </w:p>
  </w:footnote>
  <w:footnote w:type="continuationSeparator" w:id="0">
    <w:p w14:paraId="5C57B939" w14:textId="77777777" w:rsidR="00B263F0" w:rsidRDefault="00B263F0">
      <w:r>
        <w:continuationSeparator/>
      </w:r>
    </w:p>
  </w:footnote>
  <w:footnote w:id="1">
    <w:p w14:paraId="1F4EA2B9" w14:textId="36ABBC4B" w:rsidR="00D04AC9" w:rsidRPr="00D04AC9" w:rsidRDefault="00D04AC9">
      <w:pPr>
        <w:pStyle w:val="FootnoteText"/>
      </w:pPr>
      <w:r>
        <w:rPr>
          <w:rStyle w:val="FootnoteReference"/>
        </w:rPr>
        <w:footnoteRef/>
      </w:r>
      <w:r>
        <w:t xml:space="preserve"> </w:t>
      </w:r>
      <w:r w:rsidR="008A450C" w:rsidRPr="008A5D10">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w:t>
      </w:r>
    </w:p>
  </w:footnote>
  <w:footnote w:id="2">
    <w:p w14:paraId="7E5245B5" w14:textId="77777777" w:rsidR="00D04AC9" w:rsidRPr="008A450C" w:rsidRDefault="00D04AC9" w:rsidP="00D04AC9">
      <w:pPr>
        <w:pStyle w:val="FootnoteText"/>
        <w:rPr>
          <w:lang w:val="en-GB"/>
        </w:rPr>
      </w:pPr>
      <w:r w:rsidRPr="008A450C">
        <w:rPr>
          <w:rStyle w:val="FootnoteReference"/>
          <w:lang w:val="en-GB"/>
        </w:rPr>
        <w:footnoteRef/>
      </w:r>
      <w:r w:rsidRPr="008A450C">
        <w:rPr>
          <w:lang w:val="en-GB"/>
        </w:rPr>
        <w:t xml:space="preserve"> EUIs could use the inter-institutional model clauses for international transfers being prepared by the Working Group of the EUI DPO Network on International Transfers. As you may know, the EDPS is cooperating with the EUI DPO working group with a view of pre-approving the models (though not adopting them as the standard data protection clauses for transfers in the sense of Article 48(2)(c) of Regulation (EU) 2018/1725). EUI controllers wishing to rely on those inter-institutional model clauses for e.g. transfers to non-EEA private companies would still need to ask for authorisation from the EDPS in line with Article 48(3)(a) of Regulation (EU) 2018/1725, but the procedure would be quicker.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A791" w14:textId="77777777" w:rsidR="00B27255" w:rsidRDefault="00B27255" w:rsidP="00D0378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1252" w14:textId="77777777" w:rsidR="00B13756" w:rsidRDefault="00B13756">
    <w:pPr>
      <w:pStyle w:val="Header"/>
    </w:pPr>
  </w:p>
  <w:p w14:paraId="6C0088E9" w14:textId="77777777" w:rsidR="00B27255" w:rsidRDefault="00562802">
    <w:pPr>
      <w:pStyle w:val="Header"/>
    </w:pPr>
    <w:r>
      <w:rPr>
        <w:noProof/>
        <w:lang w:val="en-GB"/>
      </w:rPr>
      <w:drawing>
        <wp:anchor distT="0" distB="0" distL="114300" distR="114300" simplePos="0" relativeHeight="251658240" behindDoc="1" locked="0" layoutInCell="1" allowOverlap="1" wp14:anchorId="1E39D1DE" wp14:editId="2B34E221">
          <wp:simplePos x="0" y="0"/>
          <wp:positionH relativeFrom="column">
            <wp:posOffset>-1345703</wp:posOffset>
          </wp:positionH>
          <wp:positionV relativeFrom="paragraph">
            <wp:posOffset>-283238</wp:posOffset>
          </wp:positionV>
          <wp:extent cx="5757721"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7721" cy="810260"/>
                  </a:xfrm>
                  <a:prstGeom prst="rect">
                    <a:avLst/>
                  </a:prstGeom>
                </pic:spPr>
              </pic:pic>
            </a:graphicData>
          </a:graphic>
          <wp14:sizeRelH relativeFrom="page">
            <wp14:pctWidth>0</wp14:pctWidth>
          </wp14:sizeRelH>
          <wp14:sizeRelV relativeFrom="page">
            <wp14:pctHeight>0</wp14:pctHeight>
          </wp14:sizeRelV>
        </wp:anchor>
      </w:drawing>
    </w:r>
  </w:p>
  <w:p w14:paraId="6B914A87" w14:textId="77777777" w:rsidR="008513C0" w:rsidRDefault="008513C0">
    <w:pPr>
      <w:pStyle w:val="Header"/>
    </w:pPr>
  </w:p>
  <w:p w14:paraId="3FE50EDC" w14:textId="77777777" w:rsidR="008513C0" w:rsidRDefault="008513C0">
    <w:pPr>
      <w:pStyle w:val="Header"/>
    </w:pPr>
  </w:p>
  <w:p w14:paraId="5177E477" w14:textId="77777777" w:rsidR="008513C0" w:rsidRDefault="0085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740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71"/>
    <w:rsid w:val="00007EB6"/>
    <w:rsid w:val="00027FC8"/>
    <w:rsid w:val="0006073C"/>
    <w:rsid w:val="00060838"/>
    <w:rsid w:val="0008396B"/>
    <w:rsid w:val="00092D2B"/>
    <w:rsid w:val="000C1D1B"/>
    <w:rsid w:val="000D2656"/>
    <w:rsid w:val="00140430"/>
    <w:rsid w:val="00160F78"/>
    <w:rsid w:val="00173A6A"/>
    <w:rsid w:val="0018334A"/>
    <w:rsid w:val="00190ACC"/>
    <w:rsid w:val="001A5AAB"/>
    <w:rsid w:val="001C2310"/>
    <w:rsid w:val="001D6518"/>
    <w:rsid w:val="001E6DA9"/>
    <w:rsid w:val="001F7732"/>
    <w:rsid w:val="002378C8"/>
    <w:rsid w:val="00241C84"/>
    <w:rsid w:val="00255B7D"/>
    <w:rsid w:val="00290890"/>
    <w:rsid w:val="002A48C6"/>
    <w:rsid w:val="002B350E"/>
    <w:rsid w:val="002B6A1C"/>
    <w:rsid w:val="002D1039"/>
    <w:rsid w:val="002D6A69"/>
    <w:rsid w:val="002E2336"/>
    <w:rsid w:val="002E715F"/>
    <w:rsid w:val="0030569E"/>
    <w:rsid w:val="003060E7"/>
    <w:rsid w:val="00332428"/>
    <w:rsid w:val="0035021F"/>
    <w:rsid w:val="003F0EB6"/>
    <w:rsid w:val="00431C55"/>
    <w:rsid w:val="00444994"/>
    <w:rsid w:val="004559C0"/>
    <w:rsid w:val="00475EE6"/>
    <w:rsid w:val="004950D1"/>
    <w:rsid w:val="004A1FE9"/>
    <w:rsid w:val="004A4F96"/>
    <w:rsid w:val="00510F0D"/>
    <w:rsid w:val="00557229"/>
    <w:rsid w:val="00562802"/>
    <w:rsid w:val="00580A30"/>
    <w:rsid w:val="00584DBA"/>
    <w:rsid w:val="00587EC8"/>
    <w:rsid w:val="005903A4"/>
    <w:rsid w:val="005A3196"/>
    <w:rsid w:val="005B4D63"/>
    <w:rsid w:val="005C1871"/>
    <w:rsid w:val="005E6F1B"/>
    <w:rsid w:val="006103A4"/>
    <w:rsid w:val="006324E5"/>
    <w:rsid w:val="00644403"/>
    <w:rsid w:val="00646227"/>
    <w:rsid w:val="0067326F"/>
    <w:rsid w:val="006A4572"/>
    <w:rsid w:val="006D1478"/>
    <w:rsid w:val="006E4E0D"/>
    <w:rsid w:val="007047BD"/>
    <w:rsid w:val="00790C48"/>
    <w:rsid w:val="007A16BD"/>
    <w:rsid w:val="007C3FBC"/>
    <w:rsid w:val="007D3E7F"/>
    <w:rsid w:val="007D5D4C"/>
    <w:rsid w:val="007E20A9"/>
    <w:rsid w:val="00825E3C"/>
    <w:rsid w:val="00837231"/>
    <w:rsid w:val="008513C0"/>
    <w:rsid w:val="00855D09"/>
    <w:rsid w:val="008A450C"/>
    <w:rsid w:val="008A7E1E"/>
    <w:rsid w:val="008B7080"/>
    <w:rsid w:val="008E3307"/>
    <w:rsid w:val="00904DB0"/>
    <w:rsid w:val="009611F4"/>
    <w:rsid w:val="00962097"/>
    <w:rsid w:val="00963C79"/>
    <w:rsid w:val="009664A5"/>
    <w:rsid w:val="00967DC8"/>
    <w:rsid w:val="009737B3"/>
    <w:rsid w:val="00982455"/>
    <w:rsid w:val="00984F3C"/>
    <w:rsid w:val="009B3171"/>
    <w:rsid w:val="009C14C5"/>
    <w:rsid w:val="009C4658"/>
    <w:rsid w:val="009D6D1A"/>
    <w:rsid w:val="009E5172"/>
    <w:rsid w:val="009F699E"/>
    <w:rsid w:val="00A166B6"/>
    <w:rsid w:val="00A449BF"/>
    <w:rsid w:val="00A86B31"/>
    <w:rsid w:val="00AA6206"/>
    <w:rsid w:val="00AE3A83"/>
    <w:rsid w:val="00B13756"/>
    <w:rsid w:val="00B263F0"/>
    <w:rsid w:val="00B26DB7"/>
    <w:rsid w:val="00B27255"/>
    <w:rsid w:val="00B8153B"/>
    <w:rsid w:val="00B958BC"/>
    <w:rsid w:val="00B97C45"/>
    <w:rsid w:val="00BE1768"/>
    <w:rsid w:val="00BE351A"/>
    <w:rsid w:val="00C02C54"/>
    <w:rsid w:val="00C02DAE"/>
    <w:rsid w:val="00C04BBC"/>
    <w:rsid w:val="00C17CA7"/>
    <w:rsid w:val="00C2095E"/>
    <w:rsid w:val="00C30E74"/>
    <w:rsid w:val="00C33F7A"/>
    <w:rsid w:val="00C453F5"/>
    <w:rsid w:val="00C87559"/>
    <w:rsid w:val="00C93A09"/>
    <w:rsid w:val="00CA0D7D"/>
    <w:rsid w:val="00CC258B"/>
    <w:rsid w:val="00CD7752"/>
    <w:rsid w:val="00CE1C0F"/>
    <w:rsid w:val="00CF05A0"/>
    <w:rsid w:val="00CF123A"/>
    <w:rsid w:val="00CF79CD"/>
    <w:rsid w:val="00D001AE"/>
    <w:rsid w:val="00D0378D"/>
    <w:rsid w:val="00D04AC9"/>
    <w:rsid w:val="00D04C82"/>
    <w:rsid w:val="00D317ED"/>
    <w:rsid w:val="00D6686E"/>
    <w:rsid w:val="00D94488"/>
    <w:rsid w:val="00DA2CEF"/>
    <w:rsid w:val="00DB372C"/>
    <w:rsid w:val="00DE50C6"/>
    <w:rsid w:val="00DF2B87"/>
    <w:rsid w:val="00DF4BF9"/>
    <w:rsid w:val="00DF793D"/>
    <w:rsid w:val="00E20E60"/>
    <w:rsid w:val="00E43953"/>
    <w:rsid w:val="00E44691"/>
    <w:rsid w:val="00E77D24"/>
    <w:rsid w:val="00E85E65"/>
    <w:rsid w:val="00E92691"/>
    <w:rsid w:val="00E94195"/>
    <w:rsid w:val="00EA28CB"/>
    <w:rsid w:val="00ED04DD"/>
    <w:rsid w:val="00EE07C6"/>
    <w:rsid w:val="00EE25C5"/>
    <w:rsid w:val="00EE2D85"/>
    <w:rsid w:val="00EE721A"/>
    <w:rsid w:val="00F06F65"/>
    <w:rsid w:val="00F223EC"/>
    <w:rsid w:val="00F83270"/>
    <w:rsid w:val="00F8565E"/>
    <w:rsid w:val="00FA029E"/>
    <w:rsid w:val="00FA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FF1661"/>
  <w15:docId w15:val="{49D8E550-E770-4285-A7B1-B7A2CD5E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336"/>
    <w:pPr>
      <w:tabs>
        <w:tab w:val="center" w:pos="4153"/>
        <w:tab w:val="right" w:pos="8306"/>
      </w:tabs>
    </w:pPr>
  </w:style>
  <w:style w:type="paragraph" w:styleId="Footer">
    <w:name w:val="footer"/>
    <w:basedOn w:val="Normal"/>
    <w:link w:val="FooterChar"/>
    <w:uiPriority w:val="99"/>
    <w:rsid w:val="002E2336"/>
    <w:pPr>
      <w:tabs>
        <w:tab w:val="center" w:pos="4153"/>
        <w:tab w:val="right" w:pos="8306"/>
      </w:tabs>
    </w:pPr>
  </w:style>
  <w:style w:type="character" w:styleId="Hyperlink">
    <w:name w:val="Hyperlink"/>
    <w:uiPriority w:val="99"/>
    <w:rsid w:val="00D0378D"/>
    <w:rPr>
      <w:color w:val="0000FF"/>
      <w:u w:val="single"/>
    </w:rPr>
  </w:style>
  <w:style w:type="paragraph" w:customStyle="1" w:styleId="Title1">
    <w:name w:val="Title 1"/>
    <w:basedOn w:val="Normal"/>
    <w:next w:val="Normal"/>
    <w:rsid w:val="00FA029E"/>
    <w:pPr>
      <w:jc w:val="left"/>
    </w:pPr>
    <w:rPr>
      <w:b/>
      <w:u w:val="single"/>
    </w:rPr>
  </w:style>
  <w:style w:type="paragraph" w:customStyle="1" w:styleId="Title2">
    <w:name w:val="Title 2"/>
    <w:basedOn w:val="Normal"/>
    <w:next w:val="Normal"/>
    <w:rsid w:val="00FA029E"/>
    <w:pPr>
      <w:jc w:val="left"/>
    </w:pPr>
    <w:rPr>
      <w:b/>
    </w:rPr>
  </w:style>
  <w:style w:type="paragraph" w:customStyle="1" w:styleId="Title3">
    <w:name w:val="Title 3"/>
    <w:basedOn w:val="Normal"/>
    <w:next w:val="Normal"/>
    <w:link w:val="Title3Char"/>
    <w:rsid w:val="00FA029E"/>
    <w:pPr>
      <w:ind w:firstLine="720"/>
      <w:jc w:val="left"/>
    </w:pPr>
    <w:rPr>
      <w:b/>
    </w:rPr>
  </w:style>
  <w:style w:type="character" w:customStyle="1" w:styleId="Title3Char">
    <w:name w:val="Title 3 Char"/>
    <w:link w:val="Title3"/>
    <w:rsid w:val="00FA029E"/>
    <w:rPr>
      <w:b/>
      <w:sz w:val="24"/>
      <w:szCs w:val="24"/>
      <w:lang w:val="en-GB" w:eastAsia="en-GB" w:bidi="ar-SA"/>
    </w:rPr>
  </w:style>
  <w:style w:type="paragraph" w:styleId="BodyTextIndent2">
    <w:name w:val="Body Text Indent 2"/>
    <w:basedOn w:val="Normal"/>
    <w:rsid w:val="00FA029E"/>
    <w:pPr>
      <w:pBdr>
        <w:top w:val="single" w:sz="4" w:space="1" w:color="auto"/>
        <w:left w:val="single" w:sz="4" w:space="4" w:color="auto"/>
        <w:bottom w:val="single" w:sz="4" w:space="1" w:color="auto"/>
        <w:right w:val="single" w:sz="4" w:space="4" w:color="auto"/>
      </w:pBdr>
      <w:ind w:left="-720"/>
      <w:jc w:val="left"/>
    </w:pPr>
    <w:rPr>
      <w:b/>
      <w:bCs/>
    </w:rPr>
  </w:style>
  <w:style w:type="paragraph" w:styleId="NormalWeb">
    <w:name w:val="Normal (Web)"/>
    <w:basedOn w:val="Normal"/>
    <w:rsid w:val="00FA029E"/>
    <w:pPr>
      <w:spacing w:before="100" w:beforeAutospacing="1" w:after="100" w:afterAutospacing="1"/>
      <w:jc w:val="left"/>
    </w:pPr>
    <w:rPr>
      <w:rFonts w:ascii="Geneva" w:eastAsia="Arial Unicode MS" w:hAnsi="Geneva" w:cs="Arial Unicode MS"/>
      <w:color w:val="000066"/>
      <w:sz w:val="20"/>
      <w:szCs w:val="20"/>
      <w:lang w:eastAsia="en-US"/>
    </w:rPr>
  </w:style>
  <w:style w:type="paragraph" w:styleId="BalloonText">
    <w:name w:val="Balloon Text"/>
    <w:basedOn w:val="Normal"/>
    <w:link w:val="BalloonTextChar"/>
    <w:rsid w:val="0008396B"/>
    <w:rPr>
      <w:rFonts w:ascii="Tahoma" w:hAnsi="Tahoma" w:cs="Tahoma"/>
      <w:sz w:val="16"/>
      <w:szCs w:val="16"/>
    </w:rPr>
  </w:style>
  <w:style w:type="character" w:customStyle="1" w:styleId="BalloonTextChar">
    <w:name w:val="Balloon Text Char"/>
    <w:link w:val="BalloonText"/>
    <w:rsid w:val="0008396B"/>
    <w:rPr>
      <w:rFonts w:ascii="Tahoma" w:hAnsi="Tahoma" w:cs="Tahoma"/>
      <w:sz w:val="16"/>
      <w:szCs w:val="16"/>
      <w:lang w:val="en-US"/>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ftx5"/>
    <w:basedOn w:val="Normal"/>
    <w:link w:val="FootnoteTextChar"/>
    <w:uiPriority w:val="99"/>
    <w:unhideWhenUsed/>
    <w:rsid w:val="0035021F"/>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basedOn w:val="DefaultParagraphFont"/>
    <w:link w:val="FootnoteText"/>
    <w:uiPriority w:val="99"/>
    <w:rsid w:val="0035021F"/>
    <w:rPr>
      <w:lang w:val="en-US"/>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ootnotemark,FR"/>
    <w:uiPriority w:val="99"/>
    <w:unhideWhenUsed/>
    <w:rsid w:val="0035021F"/>
    <w:rPr>
      <w:vertAlign w:val="superscript"/>
    </w:rPr>
  </w:style>
  <w:style w:type="character" w:styleId="CommentReference">
    <w:name w:val="annotation reference"/>
    <w:basedOn w:val="DefaultParagraphFont"/>
    <w:semiHidden/>
    <w:unhideWhenUsed/>
    <w:rsid w:val="00D6686E"/>
    <w:rPr>
      <w:sz w:val="16"/>
      <w:szCs w:val="16"/>
    </w:rPr>
  </w:style>
  <w:style w:type="paragraph" w:styleId="CommentText">
    <w:name w:val="annotation text"/>
    <w:basedOn w:val="Normal"/>
    <w:link w:val="CommentTextChar"/>
    <w:semiHidden/>
    <w:unhideWhenUsed/>
    <w:rsid w:val="00D6686E"/>
    <w:rPr>
      <w:sz w:val="20"/>
      <w:szCs w:val="20"/>
    </w:rPr>
  </w:style>
  <w:style w:type="character" w:customStyle="1" w:styleId="CommentTextChar">
    <w:name w:val="Comment Text Char"/>
    <w:basedOn w:val="DefaultParagraphFont"/>
    <w:link w:val="CommentText"/>
    <w:semiHidden/>
    <w:rsid w:val="00D6686E"/>
    <w:rPr>
      <w:lang w:val="en-US"/>
    </w:rPr>
  </w:style>
  <w:style w:type="paragraph" w:styleId="CommentSubject">
    <w:name w:val="annotation subject"/>
    <w:basedOn w:val="CommentText"/>
    <w:next w:val="CommentText"/>
    <w:link w:val="CommentSubjectChar"/>
    <w:semiHidden/>
    <w:unhideWhenUsed/>
    <w:rsid w:val="00D6686E"/>
    <w:rPr>
      <w:b/>
      <w:bCs/>
    </w:rPr>
  </w:style>
  <w:style w:type="character" w:customStyle="1" w:styleId="CommentSubjectChar">
    <w:name w:val="Comment Subject Char"/>
    <w:basedOn w:val="CommentTextChar"/>
    <w:link w:val="CommentSubject"/>
    <w:semiHidden/>
    <w:rsid w:val="00D6686E"/>
    <w:rPr>
      <w:b/>
      <w:bCs/>
      <w:lang w:val="en-US"/>
    </w:rPr>
  </w:style>
  <w:style w:type="character" w:customStyle="1" w:styleId="FooterChar">
    <w:name w:val="Footer Char"/>
    <w:basedOn w:val="DefaultParagraphFont"/>
    <w:link w:val="Footer"/>
    <w:uiPriority w:val="99"/>
    <w:rsid w:val="00DE50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017">
      <w:bodyDiv w:val="1"/>
      <w:marLeft w:val="0"/>
      <w:marRight w:val="0"/>
      <w:marTop w:val="0"/>
      <w:marBottom w:val="0"/>
      <w:divBdr>
        <w:top w:val="none" w:sz="0" w:space="0" w:color="auto"/>
        <w:left w:val="none" w:sz="0" w:space="0" w:color="auto"/>
        <w:bottom w:val="none" w:sz="0" w:space="0" w:color="auto"/>
        <w:right w:val="none" w:sz="0" w:space="0" w:color="auto"/>
      </w:divBdr>
    </w:div>
    <w:div w:id="495267963">
      <w:bodyDiv w:val="1"/>
      <w:marLeft w:val="0"/>
      <w:marRight w:val="0"/>
      <w:marTop w:val="0"/>
      <w:marBottom w:val="0"/>
      <w:divBdr>
        <w:top w:val="none" w:sz="0" w:space="0" w:color="auto"/>
        <w:left w:val="none" w:sz="0" w:space="0" w:color="auto"/>
        <w:bottom w:val="none" w:sz="0" w:space="0" w:color="auto"/>
        <w:right w:val="none" w:sz="0" w:space="0" w:color="auto"/>
      </w:divBdr>
    </w:div>
    <w:div w:id="731393095">
      <w:bodyDiv w:val="1"/>
      <w:marLeft w:val="0"/>
      <w:marRight w:val="0"/>
      <w:marTop w:val="0"/>
      <w:marBottom w:val="0"/>
      <w:divBdr>
        <w:top w:val="none" w:sz="0" w:space="0" w:color="auto"/>
        <w:left w:val="none" w:sz="0" w:space="0" w:color="auto"/>
        <w:bottom w:val="none" w:sz="0" w:space="0" w:color="auto"/>
        <w:right w:val="none" w:sz="0" w:space="0" w:color="auto"/>
      </w:divBdr>
    </w:div>
    <w:div w:id="1045835027">
      <w:bodyDiv w:val="1"/>
      <w:marLeft w:val="0"/>
      <w:marRight w:val="0"/>
      <w:marTop w:val="0"/>
      <w:marBottom w:val="0"/>
      <w:divBdr>
        <w:top w:val="none" w:sz="0" w:space="0" w:color="auto"/>
        <w:left w:val="none" w:sz="0" w:space="0" w:color="auto"/>
        <w:bottom w:val="none" w:sz="0" w:space="0" w:color="auto"/>
        <w:right w:val="none" w:sz="0" w:space="0" w:color="auto"/>
      </w:divBdr>
    </w:div>
    <w:div w:id="1180389554">
      <w:bodyDiv w:val="1"/>
      <w:marLeft w:val="0"/>
      <w:marRight w:val="0"/>
      <w:marTop w:val="0"/>
      <w:marBottom w:val="0"/>
      <w:divBdr>
        <w:top w:val="none" w:sz="0" w:space="0" w:color="auto"/>
        <w:left w:val="none" w:sz="0" w:space="0" w:color="auto"/>
        <w:bottom w:val="none" w:sz="0" w:space="0" w:color="auto"/>
        <w:right w:val="none" w:sz="0" w:space="0" w:color="auto"/>
      </w:divBdr>
    </w:div>
    <w:div w:id="203017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ps.europa.eu/sites/edp/files/publication/19-11-07_edps_guidelines_on_controller_processor_and_jc_reg_2018_1725_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dpb.europa.eu/sites/edpb/files/files/file1/edpb_guidelines_2_2018_derogations_en.pdf" TargetMode="External"/><Relationship Id="rId4" Type="http://schemas.openxmlformats.org/officeDocument/2006/relationships/styles" Target="styles.xml"/><Relationship Id="rId9" Type="http://schemas.openxmlformats.org/officeDocument/2006/relationships/hyperlink" Target="mailto:edps@edps.europa.e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edps.europa.eu/" TargetMode="External"/><Relationship Id="rId1" Type="http://schemas.openxmlformats.org/officeDocument/2006/relationships/hyperlink" Target="mailto:edps@edps.e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Xanthi Kapsosideri"/>
    <f:field ref="casefile_EDPSOM_103_3700_FieldCaseNumber" par="" text="2019-0842"/>
    <f:field ref="casefile_EDPSOM_103_3700_FieldTitle" par="" text="Consultation from EDA on controllers-processors"/>
    <f:field ref="casefile_EDPSOM_103_3700_FieldClass" par="" text="03.02.01 Information and consultation on administrative measures (Art. 41)"/>
    <f:field ref="casefile_EDPSOM_103_3700_FieldInitiator" par="" text="RIBEIRO Clarisse"/>
    <f:field ref="casefile_EDPSOM_103_3700_FieldInterinstitutional" par="" text=""/>
    <f:field ref="EDPSOM_103_3700_FieldSensitivity" par="" text="Normal"/>
    <f:field ref="EDPSOM_103_3700_FieldExternalRef" par="" text="" edit="true"/>
    <f:field ref="EDPSOM_103_3700_FieldDescription" par="" text="" edit="true"/>
    <f:field ref="objname" par="" text="1st draft EDPS position - consultation-EDA-EURONTROL-case 2019-0842_xk" edit="true"/>
    <f:field ref="objsubject" par="" text="" edit="true"/>
    <f:field ref="objcreatedby" par="" text="Kapsosideri, Xanthi"/>
    <f:field ref="objcreatedat" par="" date="2019-12-13T10:35:10" text="Dec 13, 2019 10:35:10 AM"/>
    <f:field ref="objchangedby" par="" text="Kapsosideri, Xanthi"/>
    <f:field ref="objmodifiedat" par="" date="2019-12-13T17:41:11" text="Dec 13, 2019 5:41:1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793EDA-954D-46C3-A041-4FBFD271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Links>
    <vt:vector size="12" baseType="variant">
      <vt:variant>
        <vt:i4>2162811</vt:i4>
      </vt:variant>
      <vt:variant>
        <vt:i4>3</vt:i4>
      </vt:variant>
      <vt:variant>
        <vt:i4>0</vt:i4>
      </vt:variant>
      <vt:variant>
        <vt:i4>5</vt:i4>
      </vt:variant>
      <vt:variant>
        <vt:lpwstr>http://www.edps.europa.eu/</vt:lpwstr>
      </vt:variant>
      <vt:variant>
        <vt:lpwstr/>
      </vt:variant>
      <vt:variant>
        <vt:i4>327802</vt:i4>
      </vt:variant>
      <vt:variant>
        <vt:i4>0</vt:i4>
      </vt:variant>
      <vt:variant>
        <vt:i4>0</vt:i4>
      </vt:variant>
      <vt:variant>
        <vt:i4>5</vt:i4>
      </vt:variant>
      <vt:variant>
        <vt:lpwstr>mailto:edps@edps.eu.int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SRDIC Snezana</dc:creator>
  <cp:lastModifiedBy>SMIT Lara</cp:lastModifiedBy>
  <cp:revision>2</cp:revision>
  <dcterms:created xsi:type="dcterms:W3CDTF">2020-05-06T08:20:00Z</dcterms:created>
  <dcterms:modified xsi:type="dcterms:W3CDTF">2020-05-06T08:20:00Z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2019-0842</vt:lpwstr>
  </property>
  <property fmtid="{D5CDD505-2E9C-101B-9397-08002B2CF9AE}" pid="3" name="FSC#EDPSOM@103.3700:edpscasetitle">
    <vt:lpwstr>Consultation from EDA on controllers-processors</vt:lpwstr>
  </property>
  <property fmtid="{D5CDD505-2E9C-101B-9397-08002B2CF9AE}" pid="4" name="FSC#EDPSOM@103.3700:edpscasedescription">
    <vt:lpwstr>Consultation from EDA on controllers-processors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COO.6515.100.2.384507</vt:lpwstr>
  </property>
  <property fmtid="{D5CDD505-2E9C-101B-9397-08002B2CF9AE}" pid="8" name="FSC#FSCFOLIO@1.1001:docpropproject">
    <vt:lpwstr/>
  </property>
</Properties>
</file>