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415A5" w:rsidR="003A220A" w:rsidP="00F01D30" w:rsidRDefault="003A220A" w14:paraId="3CC8FA0E" w14:textId="30D41823">
      <w:pPr>
        <w:spacing w:after="240"/>
        <w:rPr>
          <w:b/>
        </w:rPr>
      </w:pPr>
      <w:proofErr w:type="spellStart"/>
      <w:r w:rsidRPr="004415A5">
        <w:rPr>
          <w:b/>
        </w:rPr>
        <w:t>Sommarju</w:t>
      </w:r>
      <w:proofErr w:type="spellEnd"/>
      <w:r w:rsidRPr="004415A5">
        <w:rPr>
          <w:b/>
        </w:rPr>
        <w:t xml:space="preserve"> tal-Opinjoni tal-Kontrollur Ewropew għall-Protezzjoni tad-</w:t>
      </w:r>
      <w:r w:rsidRPr="004415A5">
        <w:rPr>
          <w:b/>
          <w:i/>
          <w:iCs/>
        </w:rPr>
        <w:t>Data</w:t>
      </w:r>
      <w:r w:rsidRPr="004415A5">
        <w:rPr>
          <w:b/>
        </w:rPr>
        <w:t xml:space="preserve"> dwar il-mandat ta’ negozjar biex jiġi konkluż ftehim internazzjonali dwar l-iskambju ta’ </w:t>
      </w:r>
      <w:r w:rsidRPr="004415A5">
        <w:rPr>
          <w:b/>
          <w:i/>
          <w:iCs/>
        </w:rPr>
        <w:t>data</w:t>
      </w:r>
      <w:r w:rsidRPr="004415A5">
        <w:rPr>
          <w:b/>
        </w:rPr>
        <w:t xml:space="preserve"> personali bejn il-</w:t>
      </w:r>
      <w:proofErr w:type="spellStart"/>
      <w:r w:rsidRPr="004415A5">
        <w:rPr>
          <w:b/>
        </w:rPr>
        <w:t>Europol</w:t>
      </w:r>
      <w:proofErr w:type="spellEnd"/>
      <w:r w:rsidRPr="004415A5">
        <w:rPr>
          <w:b/>
        </w:rPr>
        <w:t xml:space="preserve"> u l-awtoritajiet tal-infurzar tal-liġi ta’ New Zealand.</w:t>
      </w:r>
    </w:p>
    <w:p w:rsidRPr="004415A5" w:rsidR="003A220A" w:rsidP="003A220A" w:rsidRDefault="003A220A" w14:paraId="3B5C1FF4" w14:textId="4A54C6BC">
      <w:pPr>
        <w:rPr>
          <w:i/>
        </w:rPr>
      </w:pPr>
      <w:r w:rsidRPr="004415A5">
        <w:rPr>
          <w:i/>
        </w:rPr>
        <w:t xml:space="preserve">[It-test sħiħ ta’ din l-Opinjoni jista’ jinstab </w:t>
      </w:r>
      <w:proofErr w:type="spellStart"/>
      <w:r w:rsidRPr="004415A5">
        <w:rPr>
          <w:i/>
        </w:rPr>
        <w:t>bl</w:t>
      </w:r>
      <w:proofErr w:type="spellEnd"/>
      <w:r w:rsidRPr="004415A5">
        <w:rPr>
          <w:i/>
        </w:rPr>
        <w:t xml:space="preserve">-EN, </w:t>
      </w:r>
      <w:proofErr w:type="spellStart"/>
      <w:r w:rsidRPr="004415A5">
        <w:rPr>
          <w:i/>
        </w:rPr>
        <w:t>bil</w:t>
      </w:r>
      <w:proofErr w:type="spellEnd"/>
      <w:r w:rsidRPr="004415A5">
        <w:rPr>
          <w:i/>
        </w:rPr>
        <w:t xml:space="preserve">-FR u </w:t>
      </w:r>
      <w:proofErr w:type="spellStart"/>
      <w:r w:rsidRPr="004415A5">
        <w:rPr>
          <w:i/>
        </w:rPr>
        <w:t>bil</w:t>
      </w:r>
      <w:proofErr w:type="spellEnd"/>
      <w:r w:rsidRPr="004415A5">
        <w:rPr>
          <w:i/>
        </w:rPr>
        <w:t xml:space="preserve">-DE fuq is-sit web tal-EDPS </w:t>
      </w:r>
      <w:hyperlink w:history="1" r:id="rId10">
        <w:r w:rsidRPr="004415A5">
          <w:rPr>
            <w:rStyle w:val="Hyperlink"/>
            <w:i/>
          </w:rPr>
          <w:t>www.edps.europa.eu</w:t>
        </w:r>
      </w:hyperlink>
      <w:r w:rsidRPr="004415A5">
        <w:rPr>
          <w:i/>
        </w:rPr>
        <w:t>]</w:t>
      </w:r>
    </w:p>
    <w:p w:rsidRPr="004415A5" w:rsidR="003A220A" w:rsidP="003A220A" w:rsidRDefault="003A220A" w14:paraId="3158EA3F" w14:textId="77777777">
      <w:pPr>
        <w:rPr>
          <w:i/>
        </w:rPr>
      </w:pPr>
    </w:p>
    <w:p w:rsidRPr="004415A5" w:rsidR="007159BC" w:rsidP="007159BC" w:rsidRDefault="007159BC" w14:paraId="359AFA1A" w14:textId="77777777">
      <w:pPr>
        <w:spacing w:after="200"/>
        <w:ind w:right="-165"/>
      </w:pPr>
      <w:r w:rsidRPr="004415A5">
        <w:t xml:space="preserve">Fit-30 ta’ Ottubru 2019, il-Kummissjoni Ewropea adottat Rakkomandazzjoni għal Deċiżjoni tal-Kunsill li tawtorizza l-ftuħ ta’ negozjati għal ftehim bejn l-Unjoni Ewropea u New Zealand dwar l-iskambju ta’ </w:t>
      </w:r>
      <w:r w:rsidRPr="004415A5">
        <w:rPr>
          <w:i/>
          <w:iCs/>
        </w:rPr>
        <w:t>data</w:t>
      </w:r>
      <w:r w:rsidRPr="004415A5">
        <w:t xml:space="preserve"> personali bejn l-Aġenzija tal-Unjoni Ewropea għall-Kooperazzjoni fl-Infurzar tal-Liġi (</w:t>
      </w:r>
      <w:proofErr w:type="spellStart"/>
      <w:r w:rsidRPr="004415A5">
        <w:t>Europol</w:t>
      </w:r>
      <w:proofErr w:type="spellEnd"/>
      <w:r w:rsidRPr="004415A5">
        <w:t xml:space="preserve">) u l-awtoritajiet ta’ New Zealand kompetenti fil-ġlieda kontra l-kriminalità serja u t-terroriżmu. L-għan ta’ dan il-Ftehim previst għandu jkun li jipprovdi l-bażi legali għat-trasferiment ta’ </w:t>
      </w:r>
      <w:r w:rsidRPr="004415A5">
        <w:rPr>
          <w:i/>
          <w:iCs/>
        </w:rPr>
        <w:t>data</w:t>
      </w:r>
      <w:r w:rsidRPr="004415A5">
        <w:t xml:space="preserve"> personali bejn il-</w:t>
      </w:r>
      <w:proofErr w:type="spellStart"/>
      <w:r w:rsidRPr="004415A5">
        <w:t>Europol</w:t>
      </w:r>
      <w:proofErr w:type="spellEnd"/>
      <w:r w:rsidRPr="004415A5">
        <w:t xml:space="preserve"> u l-awtoritajiet kompetenti ta’ New Zealand rispettivament, sabiex </w:t>
      </w:r>
      <w:proofErr w:type="spellStart"/>
      <w:r w:rsidRPr="004415A5">
        <w:t>jappoġġa</w:t>
      </w:r>
      <w:proofErr w:type="spellEnd"/>
      <w:r w:rsidRPr="004415A5">
        <w:t xml:space="preserve"> u jsaħħaħ l-azzjonijiet u l-kooperazzjoni reċiproka tagħhom fil-prevenzjoni u l-ġlieda kontra l-kriminalità serja </w:t>
      </w:r>
      <w:proofErr w:type="spellStart"/>
      <w:r w:rsidRPr="004415A5">
        <w:t>transnazzjonali</w:t>
      </w:r>
      <w:proofErr w:type="spellEnd"/>
      <w:r w:rsidRPr="004415A5">
        <w:t xml:space="preserve"> u t-terroriżmu, filwaqt li jiżgura salvagwardji adegwati fir-rigward tal-protezzjoni tal-privatezza, tad-</w:t>
      </w:r>
      <w:r w:rsidRPr="004415A5">
        <w:rPr>
          <w:i/>
          <w:iCs/>
        </w:rPr>
        <w:t>data</w:t>
      </w:r>
      <w:r w:rsidRPr="004415A5">
        <w:t xml:space="preserve"> personali u tad-drittijiet fundamentali u l-libertajiet tal-individwi oħra.</w:t>
      </w:r>
    </w:p>
    <w:p w:rsidRPr="004415A5" w:rsidR="007159BC" w:rsidP="007159BC" w:rsidRDefault="007159BC" w14:paraId="15797B55" w14:textId="53AEBD85">
      <w:pPr>
        <w:spacing w:after="200"/>
        <w:ind w:right="-165"/>
      </w:pPr>
      <w:r w:rsidRPr="004415A5">
        <w:t xml:space="preserve">It-trasferimenti ta’ </w:t>
      </w:r>
      <w:r w:rsidRPr="004415A5">
        <w:rPr>
          <w:i/>
          <w:iCs/>
        </w:rPr>
        <w:t>data</w:t>
      </w:r>
      <w:r w:rsidRPr="004415A5">
        <w:t xml:space="preserve"> personali miġbura fil-kuntest tal-investigazzjonijiet kriminali u </w:t>
      </w:r>
      <w:proofErr w:type="spellStart"/>
      <w:r w:rsidRPr="004415A5">
        <w:t>ulterjorment</w:t>
      </w:r>
      <w:proofErr w:type="spellEnd"/>
      <w:r w:rsidRPr="004415A5">
        <w:t xml:space="preserve"> </w:t>
      </w:r>
      <w:proofErr w:type="spellStart"/>
      <w:r w:rsidRPr="004415A5">
        <w:t>ipproċessata</w:t>
      </w:r>
      <w:proofErr w:type="spellEnd"/>
      <w:r w:rsidRPr="004415A5">
        <w:t xml:space="preserve"> mill-</w:t>
      </w:r>
      <w:proofErr w:type="spellStart"/>
      <w:r w:rsidRPr="004415A5">
        <w:t>Europol</w:t>
      </w:r>
      <w:proofErr w:type="spellEnd"/>
      <w:r w:rsidRPr="004415A5">
        <w:t xml:space="preserve"> għall</w:t>
      </w:r>
      <w:bookmarkStart w:name="_GoBack" w:id="0"/>
      <w:bookmarkEnd w:id="0"/>
      <w:r w:rsidRPr="004415A5">
        <w:t xml:space="preserve">-ġenerazzjoni tal-intelliġenza kriminali jista’ jkollhom impatt sinifikanti fuq il-ħajja tal-individwi </w:t>
      </w:r>
      <w:proofErr w:type="spellStart"/>
      <w:r w:rsidRPr="004415A5">
        <w:t>kkonċernati</w:t>
      </w:r>
      <w:proofErr w:type="spellEnd"/>
      <w:r w:rsidRPr="004415A5">
        <w:t>. Għal dik ir-raġuni, il-ftehim internazzjonali jrid jiżgura li l-limitazzjonijiet għad-drittijiet għall-privatezza u l-protezzjoni tad-</w:t>
      </w:r>
      <w:r w:rsidRPr="004415A5">
        <w:rPr>
          <w:i/>
          <w:iCs/>
        </w:rPr>
        <w:t>data</w:t>
      </w:r>
      <w:r w:rsidRPr="004415A5">
        <w:t xml:space="preserve"> b’rabta mal-ġlieda kontra l-kriminalità serja u t-terroriżmu japplikaw biss sa fejn huwa strettament meħtieġ.</w:t>
      </w:r>
    </w:p>
    <w:p w:rsidRPr="004415A5" w:rsidR="007159BC" w:rsidP="007159BC" w:rsidRDefault="007159BC" w14:paraId="707D3515" w14:textId="71A98A1B">
      <w:pPr>
        <w:spacing w:after="200"/>
        <w:ind w:right="-165"/>
      </w:pPr>
      <w:r w:rsidRPr="004415A5">
        <w:t>L-EDPS jinnota li New Zealand għandha leġiżlazzjoni nazzjonali ferm stabbilita dwar il-protezzjoni tad-</w:t>
      </w:r>
      <w:r w:rsidRPr="004415A5">
        <w:rPr>
          <w:i/>
          <w:iCs/>
        </w:rPr>
        <w:t>data</w:t>
      </w:r>
      <w:r w:rsidRPr="004415A5">
        <w:t xml:space="preserve"> u awtorità indipendenti għall-protezzjoni tad-</w:t>
      </w:r>
      <w:r w:rsidRPr="004415A5">
        <w:rPr>
          <w:i/>
          <w:iCs/>
        </w:rPr>
        <w:t>data</w:t>
      </w:r>
      <w:r w:rsidRPr="004415A5">
        <w:t xml:space="preserve">, kompetenti biex tissorvelja wkoll l-awtoritajiet tal-infurzar tal-liġi. Barra minn hekk, huwa japprezza l-fatt li l-Kummissjoni inkorporat fil-mandat ta’ negozjar propost ma’ New Zealand, numru ta’ rakkomandazzjonijiet speċifiċi diġà espressi mill-EDPS fl-Opinjoni tiegħu ta’ 2/2018 dwar tmien mandati ta’ negozjar biex jiġu konklużi </w:t>
      </w:r>
      <w:proofErr w:type="spellStart"/>
      <w:r w:rsidRPr="004415A5">
        <w:t>ftehimiet</w:t>
      </w:r>
      <w:proofErr w:type="spellEnd"/>
      <w:r w:rsidRPr="004415A5">
        <w:t xml:space="preserve"> internazzjonali li jippermettu l-iskambju ta’ </w:t>
      </w:r>
      <w:r w:rsidRPr="004415A5">
        <w:rPr>
          <w:i/>
          <w:iCs/>
        </w:rPr>
        <w:t>data</w:t>
      </w:r>
      <w:r w:rsidRPr="004415A5">
        <w:t xml:space="preserve"> bejn l-</w:t>
      </w:r>
      <w:proofErr w:type="spellStart"/>
      <w:r w:rsidRPr="004415A5">
        <w:t>Europol</w:t>
      </w:r>
      <w:proofErr w:type="spellEnd"/>
      <w:r w:rsidRPr="004415A5">
        <w:t xml:space="preserve"> u pajjiżi terzi.</w:t>
      </w:r>
    </w:p>
    <w:p w:rsidRPr="004415A5" w:rsidR="007159BC" w:rsidP="007159BC" w:rsidRDefault="007159BC" w14:paraId="0E6A523B" w14:textId="77777777">
      <w:pPr>
        <w:spacing w:after="200"/>
        <w:ind w:right="-165"/>
      </w:pPr>
      <w:r w:rsidRPr="004415A5">
        <w:t xml:space="preserve">Għaldaqstant, l-għan tar-rakkomandazzjonijiet f’din l-Opinjoni huwa li jiġu </w:t>
      </w:r>
      <w:proofErr w:type="spellStart"/>
      <w:r w:rsidRPr="004415A5">
        <w:t>kkjarifikati</w:t>
      </w:r>
      <w:proofErr w:type="spellEnd"/>
      <w:r w:rsidRPr="004415A5">
        <w:t xml:space="preserve"> u, fejn meħtieġ, </w:t>
      </w:r>
      <w:proofErr w:type="spellStart"/>
      <w:r w:rsidRPr="004415A5">
        <w:t>ulterjorment</w:t>
      </w:r>
      <w:proofErr w:type="spellEnd"/>
      <w:r w:rsidRPr="004415A5">
        <w:t xml:space="preserve"> żviluppati is-salvagwardji u l-kontrolli fir-rigward tal-protezzjoni tad-</w:t>
      </w:r>
      <w:r w:rsidRPr="004415A5">
        <w:rPr>
          <w:i/>
          <w:iCs/>
        </w:rPr>
        <w:t>data</w:t>
      </w:r>
      <w:r w:rsidRPr="004415A5">
        <w:t xml:space="preserve"> personali, waqt li jiġi </w:t>
      </w:r>
      <w:proofErr w:type="spellStart"/>
      <w:r w:rsidRPr="004415A5">
        <w:t>kkunsidrat</w:t>
      </w:r>
      <w:proofErr w:type="spellEnd"/>
      <w:r w:rsidRPr="004415A5">
        <w:t xml:space="preserve"> il-kuntest speċifiku ta’ New Zealand. Għal dan il-għan, l-EDPS jirrakkomanda li:</w:t>
      </w:r>
    </w:p>
    <w:p w:rsidRPr="004415A5" w:rsidR="007159BC" w:rsidP="007159BC" w:rsidRDefault="007159BC" w14:paraId="1FE14E9E" w14:textId="77777777">
      <w:pPr>
        <w:spacing w:after="200"/>
        <w:ind w:right="-165"/>
      </w:pPr>
      <w:r w:rsidRPr="004415A5">
        <w:t xml:space="preserve">- d-Deċiżjoni tal-Kunsill li tawtorizza l-ftuħ tan-negozjati skont l-Artikolu 218 tat-TFUE għandu jkun fiha referenza mhux biss għall-bażi legali proċedurali iżda wkoll għall-bażi legali </w:t>
      </w:r>
      <w:proofErr w:type="spellStart"/>
      <w:r w:rsidRPr="004415A5">
        <w:t>sostantiva</w:t>
      </w:r>
      <w:proofErr w:type="spellEnd"/>
      <w:r w:rsidRPr="004415A5">
        <w:t xml:space="preserve"> relevanti, li għandha tinkludi l-Artikolu 16 tat-TFUE;</w:t>
      </w:r>
    </w:p>
    <w:p w:rsidRPr="004415A5" w:rsidR="007159BC" w:rsidP="007159BC" w:rsidRDefault="007159BC" w14:paraId="2191CB2F" w14:textId="77777777">
      <w:pPr>
        <w:spacing w:after="200"/>
        <w:ind w:right="-165"/>
      </w:pPr>
      <w:r w:rsidRPr="004415A5">
        <w:t>- f’</w:t>
      </w:r>
      <w:proofErr w:type="spellStart"/>
      <w:r w:rsidRPr="004415A5">
        <w:t>konformità</w:t>
      </w:r>
      <w:proofErr w:type="spellEnd"/>
      <w:r w:rsidRPr="004415A5">
        <w:t xml:space="preserve"> mal-prinċipju tal-limitazzjoni tal-iskop, il-Ftehim previst għandu b’mod espliċitu jistipula l-lista tar-reati kriminali li fir-rigward tagħhom tista’ tiġi </w:t>
      </w:r>
      <w:proofErr w:type="spellStart"/>
      <w:r w:rsidRPr="004415A5">
        <w:t>skambjata</w:t>
      </w:r>
      <w:proofErr w:type="spellEnd"/>
      <w:r w:rsidRPr="004415A5">
        <w:t xml:space="preserve"> </w:t>
      </w:r>
      <w:r w:rsidRPr="004415A5">
        <w:rPr>
          <w:i/>
          <w:iCs/>
        </w:rPr>
        <w:t>data</w:t>
      </w:r>
      <w:r w:rsidRPr="004415A5">
        <w:t xml:space="preserve"> personali;</w:t>
      </w:r>
    </w:p>
    <w:p w:rsidRPr="004415A5" w:rsidR="007159BC" w:rsidP="007159BC" w:rsidRDefault="007159BC" w14:paraId="712C7DFF" w14:textId="77777777">
      <w:pPr>
        <w:spacing w:after="200"/>
        <w:ind w:right="-165"/>
      </w:pPr>
      <w:r w:rsidRPr="004415A5">
        <w:t>- fid-dawl tal-implimentazzjoni prattika tal-prinċipju tal-limitazzjoni tal-</w:t>
      </w:r>
      <w:proofErr w:type="spellStart"/>
      <w:r w:rsidRPr="004415A5">
        <w:t>ħżin</w:t>
      </w:r>
      <w:proofErr w:type="spellEnd"/>
      <w:r w:rsidRPr="004415A5">
        <w:t xml:space="preserve">, il-Ftehim futur għandu speċifikament jipprevedi għal </w:t>
      </w:r>
      <w:proofErr w:type="spellStart"/>
      <w:r w:rsidRPr="004415A5">
        <w:t>rieżami</w:t>
      </w:r>
      <w:proofErr w:type="spellEnd"/>
      <w:r w:rsidRPr="004415A5">
        <w:t xml:space="preserve"> perjodika tal-ħtieġa </w:t>
      </w:r>
      <w:proofErr w:type="spellStart"/>
      <w:r w:rsidRPr="004415A5">
        <w:t>għall-ħżin</w:t>
      </w:r>
      <w:proofErr w:type="spellEnd"/>
      <w:r w:rsidRPr="004415A5">
        <w:t xml:space="preserve"> tad-</w:t>
      </w:r>
      <w:r w:rsidRPr="004415A5">
        <w:rPr>
          <w:i/>
          <w:iCs/>
        </w:rPr>
        <w:t>data</w:t>
      </w:r>
      <w:r w:rsidRPr="004415A5">
        <w:t xml:space="preserve"> personali trasferita;</w:t>
      </w:r>
    </w:p>
    <w:p w:rsidRPr="004415A5" w:rsidR="007159BC" w:rsidP="007159BC" w:rsidRDefault="007159BC" w14:paraId="52EA9B1E" w14:textId="77777777">
      <w:pPr>
        <w:spacing w:after="200"/>
        <w:ind w:right="-165"/>
      </w:pPr>
      <w:r w:rsidRPr="004415A5">
        <w:t>- minħabba l-importanza tad-dritt għall-informazzjoni għall-eżerċizzju tad-drittijiet l-oħra tal-protezzjoni tad-</w:t>
      </w:r>
      <w:r w:rsidRPr="004415A5">
        <w:rPr>
          <w:i/>
          <w:iCs/>
        </w:rPr>
        <w:t>data</w:t>
      </w:r>
      <w:r w:rsidRPr="004415A5">
        <w:t>, il-Ftehim għandu jinkludi regoli ċari u dettaljati rigward l-informazzjoni li għandha tingħata lis-suġġetti tad-</w:t>
      </w:r>
      <w:r w:rsidRPr="004415A5">
        <w:rPr>
          <w:i/>
          <w:iCs/>
        </w:rPr>
        <w:t>data</w:t>
      </w:r>
      <w:r w:rsidRPr="004415A5">
        <w:t>.</w:t>
      </w:r>
    </w:p>
    <w:p w:rsidRPr="004415A5" w:rsidR="00330A98" w:rsidP="007159BC" w:rsidRDefault="007159BC" w14:paraId="7C9AAAED" w14:textId="10241224">
      <w:pPr>
        <w:spacing w:after="200"/>
        <w:rPr>
          <w:b/>
        </w:rPr>
      </w:pPr>
      <w:r w:rsidRPr="004415A5">
        <w:lastRenderedPageBreak/>
        <w:t xml:space="preserve">Fl-aħħar, l-EDPS jistenna li jiġi </w:t>
      </w:r>
      <w:proofErr w:type="spellStart"/>
      <w:r w:rsidRPr="004415A5">
        <w:t>kkonsultat</w:t>
      </w:r>
      <w:proofErr w:type="spellEnd"/>
      <w:r w:rsidRPr="004415A5">
        <w:t xml:space="preserve"> fi stadji aktar ’il quddiem dwar il-finalizzazzjoni tal-abbozz tal-Ftehim f’</w:t>
      </w:r>
      <w:proofErr w:type="spellStart"/>
      <w:r w:rsidRPr="004415A5">
        <w:t>konformità</w:t>
      </w:r>
      <w:proofErr w:type="spellEnd"/>
      <w:r w:rsidRPr="004415A5">
        <w:t xml:space="preserve"> mal-Artikolu 42 tar-Regolament (UE) Nru 2018/1725. Huwa jibqa’ disponibbli għal aktar pariri matul in-negozjati.</w:t>
      </w:r>
    </w:p>
    <w:p w:rsidRPr="004415A5" w:rsidR="002335D6" w:rsidP="007159BC" w:rsidRDefault="002335D6" w14:paraId="204B7B33" w14:textId="77777777">
      <w:pPr>
        <w:spacing w:after="200"/>
        <w:rPr>
          <w:b/>
        </w:rPr>
      </w:pPr>
    </w:p>
    <w:p w:rsidRPr="004415A5" w:rsidR="007159BC" w:rsidP="00C424DE" w:rsidRDefault="00AD04B0" w14:paraId="08DCC2B6" w14:textId="578E320A">
      <w:pPr>
        <w:pStyle w:val="Heading1"/>
        <w:keepLines/>
        <w:numPr>
          <w:ilvl w:val="0"/>
          <w:numId w:val="2"/>
        </w:numPr>
        <w:spacing w:after="200"/>
        <w:ind w:left="851" w:hanging="851"/>
        <w:jc w:val="both"/>
      </w:pPr>
      <w:bookmarkStart w:name="_Toc12030799" w:id="1"/>
      <w:bookmarkStart w:name="_Toc425509692" w:id="2"/>
      <w:r w:rsidRPr="004415A5">
        <w:rPr>
          <w:sz w:val="32"/>
          <w:szCs w:val="32"/>
        </w:rPr>
        <w:t>Introduzzjoni u sfond</w:t>
      </w:r>
      <w:bookmarkEnd w:id="1"/>
    </w:p>
    <w:p w:rsidRPr="004415A5" w:rsidR="007159BC" w:rsidP="007159BC" w:rsidRDefault="007159BC" w14:paraId="18266309" w14:textId="5D22E4C6">
      <w:pPr>
        <w:pStyle w:val="ListParagraph"/>
        <w:numPr>
          <w:ilvl w:val="0"/>
          <w:numId w:val="28"/>
        </w:numPr>
        <w:spacing w:after="240"/>
        <w:ind w:right="-165"/>
      </w:pPr>
      <w:r w:rsidRPr="004415A5">
        <w:t>Ir-Regolament (UE) 2016/794 tal-Parlament Ewropew u tal-Kunsill tal-11 ta’ Mejju 2016 dwar l-Aġenzija tal-Unjoni Ewropea għall-Kooperazzjoni fl-Infurzar tal-Liġi (</w:t>
      </w:r>
      <w:proofErr w:type="spellStart"/>
      <w:r w:rsidRPr="004415A5">
        <w:t>Europol</w:t>
      </w:r>
      <w:proofErr w:type="spellEnd"/>
      <w:r w:rsidRPr="004415A5">
        <w:t>) u li jissostitwixxi u jħassar id-Deċiżjonijiet tal-Kunsill 2009/371/ĠAI, 2009/934/ĠAI, 2009/935/ĠAI, 2009/936/ĠAI u 2009/968/ĠAI</w:t>
      </w:r>
      <w:r w:rsidRPr="004415A5">
        <w:rPr>
          <w:rStyle w:val="EndnoteReference"/>
        </w:rPr>
        <w:endnoteReference w:id="1"/>
      </w:r>
      <w:r w:rsidRPr="004415A5">
        <w:t>, (minn hawn ’il quddiem “ir-Regolament tal-</w:t>
      </w:r>
      <w:proofErr w:type="spellStart"/>
      <w:r w:rsidRPr="004415A5">
        <w:t>Europol</w:t>
      </w:r>
      <w:proofErr w:type="spellEnd"/>
      <w:r w:rsidRPr="004415A5">
        <w:t>”), jistabbilixxi regoli speċifiċi dwar it-trasferimenti tad-</w:t>
      </w:r>
      <w:r w:rsidRPr="004415A5">
        <w:rPr>
          <w:i/>
          <w:iCs/>
        </w:rPr>
        <w:t>data</w:t>
      </w:r>
      <w:r w:rsidRPr="004415A5">
        <w:t xml:space="preserve"> mill-</w:t>
      </w:r>
      <w:proofErr w:type="spellStart"/>
      <w:r w:rsidRPr="004415A5">
        <w:t>Europol</w:t>
      </w:r>
      <w:proofErr w:type="spellEnd"/>
      <w:r w:rsidRPr="004415A5">
        <w:t xml:space="preserve"> barra l-UE. L-Artikolu 25(1) tiegħu jelenka għadd ta’ raġunijiet legali li abbażi tagħhom il-</w:t>
      </w:r>
      <w:proofErr w:type="spellStart"/>
      <w:r w:rsidRPr="004415A5">
        <w:t>Europol</w:t>
      </w:r>
      <w:proofErr w:type="spellEnd"/>
      <w:r w:rsidRPr="004415A5">
        <w:t xml:space="preserve"> ikun jista’ jittrasferixxi d-</w:t>
      </w:r>
      <w:r w:rsidRPr="004415A5">
        <w:rPr>
          <w:i/>
          <w:iCs/>
        </w:rPr>
        <w:t>data</w:t>
      </w:r>
      <w:r w:rsidRPr="004415A5">
        <w:t xml:space="preserve"> b’mod legali lill-awtoritajiet ta’ pajjiżi terzi. Possibbiltà waħda tkun deċiżjoni ta’ </w:t>
      </w:r>
      <w:proofErr w:type="spellStart"/>
      <w:r w:rsidRPr="004415A5">
        <w:t>adegwatezza</w:t>
      </w:r>
      <w:proofErr w:type="spellEnd"/>
      <w:r w:rsidRPr="004415A5">
        <w:t xml:space="preserve"> tal-Kummissjoni f’</w:t>
      </w:r>
      <w:proofErr w:type="spellStart"/>
      <w:r w:rsidRPr="004415A5">
        <w:t>konformità</w:t>
      </w:r>
      <w:proofErr w:type="spellEnd"/>
      <w:r w:rsidRPr="004415A5">
        <w:t xml:space="preserve"> mal-Artikolu 36 tad-Direttiva (UE) 2016/680, li ssib li l-pajjiż terz li lilu l-</w:t>
      </w:r>
      <w:proofErr w:type="spellStart"/>
      <w:r w:rsidRPr="004415A5">
        <w:t>Europol</w:t>
      </w:r>
      <w:proofErr w:type="spellEnd"/>
      <w:r w:rsidRPr="004415A5">
        <w:t xml:space="preserve"> jittrasferixxi d-</w:t>
      </w:r>
      <w:r w:rsidRPr="004415A5">
        <w:rPr>
          <w:i/>
          <w:iCs/>
        </w:rPr>
        <w:t>data</w:t>
      </w:r>
      <w:r w:rsidRPr="004415A5">
        <w:t xml:space="preserve"> jiżgura livell xieraq ta’ protezzjoni. Billi attwalment ma teżisti l-ebda deċiżjoni ta’ </w:t>
      </w:r>
      <w:proofErr w:type="spellStart"/>
      <w:r w:rsidRPr="004415A5">
        <w:t>adegwatezza</w:t>
      </w:r>
      <w:proofErr w:type="spellEnd"/>
      <w:r w:rsidRPr="004415A5">
        <w:t xml:space="preserve"> bħal din, l-alternattiva l-oħra </w:t>
      </w:r>
      <w:proofErr w:type="spellStart"/>
      <w:r w:rsidRPr="004415A5">
        <w:t>għall-Europol</w:t>
      </w:r>
      <w:proofErr w:type="spellEnd"/>
      <w:r w:rsidRPr="004415A5">
        <w:t xml:space="preserve"> biex regolarment tittrasferixxi d-</w:t>
      </w:r>
      <w:r w:rsidRPr="004415A5">
        <w:rPr>
          <w:i/>
          <w:iCs/>
        </w:rPr>
        <w:t>data</w:t>
      </w:r>
      <w:r w:rsidRPr="004415A5">
        <w:t xml:space="preserve"> f’pajjiż terz tkun il-konklużjoni ta’ ftehim internazzjonali </w:t>
      </w:r>
      <w:proofErr w:type="spellStart"/>
      <w:r w:rsidRPr="004415A5">
        <w:t>vinkolanti</w:t>
      </w:r>
      <w:proofErr w:type="spellEnd"/>
      <w:r w:rsidRPr="004415A5">
        <w:t xml:space="preserve"> bejn l-UE u l-pajjiż terz </w:t>
      </w:r>
      <w:proofErr w:type="spellStart"/>
      <w:r w:rsidRPr="004415A5">
        <w:t>riċeventi</w:t>
      </w:r>
      <w:proofErr w:type="spellEnd"/>
      <w:r w:rsidRPr="004415A5">
        <w:t xml:space="preserve"> li jiggarantixxi salvagwardji xierqa fir-rigward tal-protezzjoni tal-privatezza u tad-drittijiet u l-libertajiet fundamentali l-oħra tal-individwi.</w:t>
      </w:r>
    </w:p>
    <w:p w:rsidRPr="004415A5" w:rsidR="007159BC" w:rsidP="007159BC" w:rsidRDefault="007159BC" w14:paraId="13B21C7A" w14:textId="77777777">
      <w:pPr>
        <w:pStyle w:val="ListParagraph"/>
        <w:spacing w:after="240"/>
        <w:ind w:left="360" w:right="-165"/>
      </w:pPr>
    </w:p>
    <w:p w:rsidRPr="004415A5" w:rsidR="007159BC" w:rsidP="007159BC" w:rsidRDefault="007159BC" w14:paraId="32FB1D62" w14:textId="77777777">
      <w:pPr>
        <w:pStyle w:val="ListParagraph"/>
        <w:numPr>
          <w:ilvl w:val="0"/>
          <w:numId w:val="28"/>
        </w:numPr>
        <w:spacing w:after="240"/>
        <w:ind w:right="-165"/>
      </w:pPr>
      <w:r w:rsidRPr="004415A5">
        <w:t>Attwalment, ma hemm l-ebda bażi legali għall-iskambju regolari u strutturat ta’ data personali bejn il-</w:t>
      </w:r>
      <w:proofErr w:type="spellStart"/>
      <w:r w:rsidRPr="004415A5">
        <w:t>Europol</w:t>
      </w:r>
      <w:proofErr w:type="spellEnd"/>
      <w:r w:rsidRPr="004415A5">
        <w:t xml:space="preserve"> u l-awtoritajiet tal-infurzar tal-liġi ta’ New Zealand. Il-</w:t>
      </w:r>
      <w:proofErr w:type="spellStart"/>
      <w:r w:rsidRPr="004415A5">
        <w:t>Europol</w:t>
      </w:r>
      <w:proofErr w:type="spellEnd"/>
      <w:r w:rsidRPr="004415A5">
        <w:t xml:space="preserve"> u l-Pulizija ta’ New Zealand iffirmaw arranġament ta’ ħidma f’April 2019. Dan l-arranġament jipprevedi qafas għal kooperazzjoni </w:t>
      </w:r>
      <w:proofErr w:type="spellStart"/>
      <w:r w:rsidRPr="004415A5">
        <w:t>strutturata</w:t>
      </w:r>
      <w:proofErr w:type="spellEnd"/>
      <w:r w:rsidRPr="004415A5">
        <w:t xml:space="preserve"> fuq livell strateġiku, inkluża linja </w:t>
      </w:r>
      <w:proofErr w:type="spellStart"/>
      <w:r w:rsidRPr="004415A5">
        <w:t>sikura</w:t>
      </w:r>
      <w:proofErr w:type="spellEnd"/>
      <w:r w:rsidRPr="004415A5">
        <w:t xml:space="preserve"> li tippermetti komunikazzjoni diretta </w:t>
      </w:r>
      <w:proofErr w:type="spellStart"/>
      <w:r w:rsidRPr="004415A5">
        <w:t>sikura</w:t>
      </w:r>
      <w:proofErr w:type="spellEnd"/>
      <w:r w:rsidRPr="004415A5">
        <w:t xml:space="preserve">, u New Zealand allokat uffiċjal ta’ </w:t>
      </w:r>
      <w:proofErr w:type="spellStart"/>
      <w:r w:rsidRPr="004415A5">
        <w:t>kollegament</w:t>
      </w:r>
      <w:proofErr w:type="spellEnd"/>
      <w:r w:rsidRPr="004415A5">
        <w:t xml:space="preserve"> </w:t>
      </w:r>
      <w:proofErr w:type="spellStart"/>
      <w:r w:rsidRPr="004415A5">
        <w:t>mal-Europol</w:t>
      </w:r>
      <w:proofErr w:type="spellEnd"/>
      <w:r w:rsidRPr="004415A5">
        <w:t xml:space="preserve">. Madankollu, dan ma jipprovdix bażi legali għall-iskambju ta’ </w:t>
      </w:r>
      <w:r w:rsidRPr="004415A5">
        <w:rPr>
          <w:i/>
          <w:iCs/>
        </w:rPr>
        <w:t>data</w:t>
      </w:r>
      <w:r w:rsidRPr="004415A5">
        <w:t xml:space="preserve"> personali.</w:t>
      </w:r>
    </w:p>
    <w:p w:rsidRPr="004415A5" w:rsidR="007159BC" w:rsidP="007159BC" w:rsidRDefault="007159BC" w14:paraId="66A300C1" w14:textId="77777777">
      <w:pPr>
        <w:numPr>
          <w:ilvl w:val="0"/>
          <w:numId w:val="28"/>
        </w:numPr>
        <w:spacing w:after="200"/>
        <w:ind w:right="-165"/>
      </w:pPr>
      <w:r w:rsidRPr="004415A5">
        <w:t>Il-Kummissjoni tikkunsidra li jkun meħtieġ li New Zealand tiġi miżjuda bħala pajjiż ta’ prijorità sabiex fi żmien qasir jinbdew in-negozjati fid-dawl tal-istrateġija politika deskritta fl-Aġenda Ewropea dwar is-Sigurtà</w:t>
      </w:r>
      <w:r w:rsidRPr="004415A5">
        <w:rPr>
          <w:rStyle w:val="EndnoteReference"/>
        </w:rPr>
        <w:endnoteReference w:id="2"/>
      </w:r>
      <w:r w:rsidRPr="004415A5">
        <w:t>, il-Konklużjonijiet tal-Kunsill dwar l-Azzjoni Esterna tal-UE dwar il-Ġlieda Kontra t-Terroriżmu</w:t>
      </w:r>
      <w:r w:rsidRPr="004415A5">
        <w:rPr>
          <w:rStyle w:val="EndnoteReference"/>
        </w:rPr>
        <w:endnoteReference w:id="3"/>
      </w:r>
      <w:r w:rsidRPr="004415A5">
        <w:t>, l-Istrateġija Globali</w:t>
      </w:r>
      <w:r w:rsidRPr="004415A5">
        <w:rPr>
          <w:rStyle w:val="EndnoteReference"/>
        </w:rPr>
        <w:endnoteReference w:id="4"/>
      </w:r>
      <w:r w:rsidRPr="004415A5">
        <w:t xml:space="preserve"> u r-rekwiżiti </w:t>
      </w:r>
      <w:proofErr w:type="spellStart"/>
      <w:r w:rsidRPr="004415A5">
        <w:t>operazzjonali</w:t>
      </w:r>
      <w:proofErr w:type="spellEnd"/>
      <w:r w:rsidRPr="004415A5">
        <w:t xml:space="preserve"> tal-awtoritajiet tal-infurzar tal-liġi fl-UE kollha. Din </w:t>
      </w:r>
      <w:proofErr w:type="spellStart"/>
      <w:r w:rsidRPr="004415A5">
        <w:t>tenfasizza</w:t>
      </w:r>
      <w:proofErr w:type="spellEnd"/>
      <w:r w:rsidRPr="004415A5">
        <w:t xml:space="preserve"> li l-benefiċċji potenzjali ta’ aktar kooperazzjoni mill-qrib intwerew ukoll bis-</w:t>
      </w:r>
      <w:proofErr w:type="spellStart"/>
      <w:r w:rsidRPr="004415A5">
        <w:t>segwitu</w:t>
      </w:r>
      <w:proofErr w:type="spellEnd"/>
      <w:r w:rsidRPr="004415A5">
        <w:t xml:space="preserve"> tal-attakk fuq </w:t>
      </w:r>
      <w:proofErr w:type="spellStart"/>
      <w:r w:rsidRPr="004415A5">
        <w:t>Christchurch</w:t>
      </w:r>
      <w:proofErr w:type="spellEnd"/>
      <w:r w:rsidRPr="004415A5">
        <w:t xml:space="preserve"> f’Marzu 2019. New Zealand formalment għamlet talba għall-inizjattiva fit-23 ta’ Awwissu 2019.</w:t>
      </w:r>
    </w:p>
    <w:p w:rsidRPr="004415A5" w:rsidR="007159BC" w:rsidP="007159BC" w:rsidRDefault="007159BC" w14:paraId="1660E93F" w14:textId="77777777">
      <w:pPr>
        <w:pStyle w:val="ListParagraph"/>
        <w:numPr>
          <w:ilvl w:val="0"/>
          <w:numId w:val="28"/>
        </w:numPr>
        <w:spacing w:after="240"/>
        <w:ind w:right="-165"/>
      </w:pPr>
      <w:r w:rsidRPr="004415A5">
        <w:t xml:space="preserve">Fit-30 ta’ Ottubru 2019, il-Kummissjoni Ewropea adottat Rakkomandazzjoni għal Deċiżjoni tal-Kunsill li tawtorizza l-ftuħ ta’ negozjati għal ftehim bejn l-Unjoni Ewropea u New Zealand dwar l-iskambju ta’ </w:t>
      </w:r>
      <w:r w:rsidRPr="004415A5">
        <w:rPr>
          <w:i/>
          <w:iCs/>
        </w:rPr>
        <w:t>data</w:t>
      </w:r>
      <w:r w:rsidRPr="004415A5">
        <w:t xml:space="preserve"> personali bejn l-Aġenzija tal-Unjoni Ewropea għall-Kooperazzjoni fl-Infurzar tal-Liġi (</w:t>
      </w:r>
      <w:proofErr w:type="spellStart"/>
      <w:r w:rsidRPr="004415A5">
        <w:t>Europol</w:t>
      </w:r>
      <w:proofErr w:type="spellEnd"/>
      <w:r w:rsidRPr="004415A5">
        <w:t>) u l-awtoritajiet ta’ New Zealand kompetenti fil-ġlieda kontra l-kriminalità serja u t-terroriżmu</w:t>
      </w:r>
      <w:r w:rsidRPr="004415A5">
        <w:rPr>
          <w:rStyle w:val="EndnoteReference"/>
        </w:rPr>
        <w:endnoteReference w:id="5"/>
      </w:r>
      <w:r w:rsidRPr="004415A5">
        <w:t xml:space="preserve"> (minn hawn ’il quddiem “ir-Rakkomandazzjoni”). L-Anness għar-Rakkomandazzjoni (minn hawn ’il quddiem “l-Anness”) jistabbilixxi d-direttivi ta’ negozjar tal-Kunsill lill-Kummissjoni, jiġifieri l-għanijiet li din tal-aħħar għandha timmira li tikseb f’isem l-UE matul in-negozjati.</w:t>
      </w:r>
    </w:p>
    <w:p w:rsidRPr="004415A5" w:rsidR="007159BC" w:rsidP="007159BC" w:rsidRDefault="007159BC" w14:paraId="1EE0D667" w14:textId="77777777">
      <w:pPr>
        <w:numPr>
          <w:ilvl w:val="0"/>
          <w:numId w:val="28"/>
        </w:numPr>
        <w:spacing w:after="200"/>
        <w:ind w:right="-165"/>
      </w:pPr>
      <w:r w:rsidRPr="004415A5">
        <w:t xml:space="preserve">L-għan ta’ dan il-Ftehim previst għandu jkun li jipprovdi l-bażi legali għat-trasferiment ta’ </w:t>
      </w:r>
      <w:r w:rsidRPr="004415A5">
        <w:rPr>
          <w:i/>
          <w:iCs/>
        </w:rPr>
        <w:t>data</w:t>
      </w:r>
      <w:r w:rsidRPr="004415A5">
        <w:t xml:space="preserve"> personali bejn il-</w:t>
      </w:r>
      <w:proofErr w:type="spellStart"/>
      <w:r w:rsidRPr="004415A5">
        <w:t>Europol</w:t>
      </w:r>
      <w:proofErr w:type="spellEnd"/>
      <w:r w:rsidRPr="004415A5">
        <w:t xml:space="preserve"> u l-awtoritajiet kompetenti tan-New Zealand rispettivament, sabiex </w:t>
      </w:r>
      <w:proofErr w:type="spellStart"/>
      <w:r w:rsidRPr="004415A5">
        <w:t>jappoġġa</w:t>
      </w:r>
      <w:proofErr w:type="spellEnd"/>
      <w:r w:rsidRPr="004415A5">
        <w:t xml:space="preserve"> u jsaħħaħ l-azzjoni mill-awtoritajiet kompetenti ta’ dan il-pajjiż u l-Istati </w:t>
      </w:r>
      <w:r w:rsidRPr="004415A5">
        <w:lastRenderedPageBreak/>
        <w:t xml:space="preserve">Membri kif ukoll il-kooperazzjoni reċiproka tagħhom fil-prevenzjoni u l-ġlieda kontra l-kriminalità serja </w:t>
      </w:r>
      <w:proofErr w:type="spellStart"/>
      <w:r w:rsidRPr="004415A5">
        <w:t>transnazzjonali</w:t>
      </w:r>
      <w:proofErr w:type="spellEnd"/>
      <w:r w:rsidRPr="004415A5">
        <w:t xml:space="preserve"> u t-terroriżmu, filwaqt li jiżgura salvagwardji adegwati fir-rigward tal-protezzjoni tal-privatezza, tad-</w:t>
      </w:r>
      <w:r w:rsidRPr="004415A5">
        <w:rPr>
          <w:i/>
          <w:iCs/>
        </w:rPr>
        <w:t>data</w:t>
      </w:r>
      <w:r w:rsidRPr="004415A5">
        <w:t xml:space="preserve"> personali u tad-drittijiet u l-libertajiet fundamentali tal-individwi</w:t>
      </w:r>
      <w:r w:rsidRPr="004415A5">
        <w:rPr>
          <w:vertAlign w:val="superscript"/>
        </w:rPr>
        <w:endnoteReference w:id="6"/>
      </w:r>
      <w:r w:rsidRPr="004415A5">
        <w:t>.</w:t>
      </w:r>
    </w:p>
    <w:p w:rsidRPr="004415A5" w:rsidR="007159BC" w:rsidP="007159BC" w:rsidRDefault="007159BC" w14:paraId="328DEFF5" w14:textId="1EAF581F">
      <w:pPr>
        <w:numPr>
          <w:ilvl w:val="0"/>
          <w:numId w:val="28"/>
        </w:numPr>
        <w:spacing w:after="200"/>
        <w:ind w:right="-165"/>
      </w:pPr>
      <w:r w:rsidRPr="004415A5">
        <w:t xml:space="preserve">Skont l-Artikolu 42(1) tar-Regolament 2018/1725, il-Kummissjoni għandha tikkonsulta </w:t>
      </w:r>
      <w:proofErr w:type="spellStart"/>
      <w:r w:rsidRPr="004415A5">
        <w:t>mal</w:t>
      </w:r>
      <w:proofErr w:type="spellEnd"/>
      <w:r w:rsidRPr="004415A5">
        <w:t>-EDPS wara l-adozzjoni ta’ proposta għal rakkomandazzjoni lill-Kunsill skont l-Artikolu 218 tat-TFUE, fejn ikun hemm impatt fuq il-protezzjoni tad-drittijiet u l-libertajiet tal-individwi fir-rigward tal-ipproċessar tad-</w:t>
      </w:r>
      <w:r w:rsidRPr="004415A5">
        <w:rPr>
          <w:i/>
          <w:iCs/>
        </w:rPr>
        <w:t>data</w:t>
      </w:r>
      <w:r w:rsidRPr="004415A5">
        <w:t xml:space="preserve"> personali.</w:t>
      </w:r>
    </w:p>
    <w:p w:rsidRPr="004415A5" w:rsidR="007159BC" w:rsidP="007159BC" w:rsidRDefault="007159BC" w14:paraId="0A3B48DF" w14:textId="77777777">
      <w:pPr>
        <w:numPr>
          <w:ilvl w:val="0"/>
          <w:numId w:val="28"/>
        </w:numPr>
        <w:spacing w:after="200"/>
        <w:ind w:right="-165"/>
      </w:pPr>
      <w:r w:rsidRPr="004415A5">
        <w:t>Barra minn hekk, il-Premessa 35 tar-Regolament tal-</w:t>
      </w:r>
      <w:proofErr w:type="spellStart"/>
      <w:r w:rsidRPr="004415A5">
        <w:t>Europol</w:t>
      </w:r>
      <w:proofErr w:type="spellEnd"/>
      <w:r w:rsidRPr="004415A5">
        <w:t xml:space="preserve"> </w:t>
      </w:r>
      <w:proofErr w:type="spellStart"/>
      <w:r w:rsidRPr="004415A5">
        <w:t>tipprevedi</w:t>
      </w:r>
      <w:proofErr w:type="spellEnd"/>
      <w:r w:rsidRPr="004415A5">
        <w:t xml:space="preserve"> li “fejn adatt u f’</w:t>
      </w:r>
      <w:proofErr w:type="spellStart"/>
      <w:r w:rsidRPr="004415A5">
        <w:t>konformità</w:t>
      </w:r>
      <w:proofErr w:type="spellEnd"/>
      <w:r w:rsidRPr="004415A5">
        <w:t xml:space="preserve"> mar-Regolament [2018/1725], il-Kummissjoni għandha tkun tista’ tikkonsulta lill-EDPS qabel u waqt in-negozjati ta’ ftehim internazzjonali bejn l-UE u pajjiż terz li jippermetti l-iskambju ta’ </w:t>
      </w:r>
      <w:r w:rsidRPr="004415A5">
        <w:rPr>
          <w:i/>
          <w:iCs/>
        </w:rPr>
        <w:t>data</w:t>
      </w:r>
      <w:r w:rsidRPr="004415A5">
        <w:t xml:space="preserve"> bejn il-</w:t>
      </w:r>
      <w:proofErr w:type="spellStart"/>
      <w:r w:rsidRPr="004415A5">
        <w:t>Europol</w:t>
      </w:r>
      <w:proofErr w:type="spellEnd"/>
      <w:r w:rsidRPr="004415A5">
        <w:t xml:space="preserve"> u l-awtoritajiet ta’ dan il-pajjiż terz”.</w:t>
      </w:r>
    </w:p>
    <w:p w:rsidRPr="004415A5" w:rsidR="007159BC" w:rsidP="007159BC" w:rsidRDefault="007159BC" w14:paraId="0BDC4AC4" w14:textId="47D46F15">
      <w:pPr>
        <w:numPr>
          <w:ilvl w:val="0"/>
          <w:numId w:val="28"/>
        </w:numPr>
        <w:spacing w:after="240"/>
        <w:ind w:right="-165"/>
      </w:pPr>
      <w:r w:rsidRPr="004415A5">
        <w:t xml:space="preserve">L-EDPS jilqa’ l-fatt li ġie </w:t>
      </w:r>
      <w:proofErr w:type="spellStart"/>
      <w:r w:rsidRPr="004415A5">
        <w:t>kkonsultat</w:t>
      </w:r>
      <w:proofErr w:type="spellEnd"/>
      <w:r w:rsidRPr="004415A5">
        <w:t xml:space="preserve"> dwar ir-Rakkomandazzjoni mill-Kummissjoni Ewropea u jistenna li referenza għal din l-Opinjoni tkun inkluża fil-</w:t>
      </w:r>
      <w:proofErr w:type="spellStart"/>
      <w:r w:rsidRPr="004415A5">
        <w:t>preambolu</w:t>
      </w:r>
      <w:proofErr w:type="spellEnd"/>
      <w:r w:rsidRPr="004415A5">
        <w:t xml:space="preserve"> tad-Deċiżjoni tal-Kunsill. L-Opinjoni preżenti hija mingħajr preġudizzju għal kwalunkwe kumment addizzjonali li l-EDPS jista’ jagħmel fuq il-bażi ta’ informazzjoni ulterjuri disponibbli aktar tard.</w:t>
      </w:r>
    </w:p>
    <w:p w:rsidRPr="004415A5" w:rsidR="007159BC" w:rsidP="007159BC" w:rsidRDefault="007159BC" w14:paraId="05D338DA" w14:textId="77777777"/>
    <w:p w:rsidRPr="004415A5" w:rsidR="00654851" w:rsidP="00C424DE" w:rsidRDefault="00AD04B0" w14:paraId="32B27A1B" w14:textId="309A89FF">
      <w:pPr>
        <w:pStyle w:val="Heading1"/>
        <w:keepLines/>
        <w:numPr>
          <w:ilvl w:val="0"/>
          <w:numId w:val="24"/>
        </w:numPr>
        <w:spacing w:after="200"/>
        <w:ind w:left="851" w:hanging="851"/>
        <w:jc w:val="both"/>
        <w:rPr>
          <w:sz w:val="32"/>
          <w:szCs w:val="32"/>
        </w:rPr>
      </w:pPr>
      <w:bookmarkStart w:name="_Toc12030806" w:id="3"/>
      <w:r w:rsidRPr="004415A5">
        <w:rPr>
          <w:sz w:val="32"/>
          <w:szCs w:val="32"/>
        </w:rPr>
        <w:t>Konklużjonijiet</w:t>
      </w:r>
      <w:bookmarkEnd w:id="3"/>
    </w:p>
    <w:p w:rsidRPr="004415A5" w:rsidR="002335D6" w:rsidP="002335D6" w:rsidRDefault="002335D6" w14:paraId="055E0617" w14:textId="77777777">
      <w:pPr>
        <w:pStyle w:val="ListParagraph"/>
        <w:numPr>
          <w:ilvl w:val="0"/>
          <w:numId w:val="29"/>
        </w:numPr>
        <w:ind w:right="-165"/>
      </w:pPr>
      <w:r w:rsidRPr="004415A5">
        <w:t>It-trasferimenti tad-</w:t>
      </w:r>
      <w:r w:rsidRPr="004415A5">
        <w:rPr>
          <w:i/>
          <w:iCs/>
        </w:rPr>
        <w:t>data</w:t>
      </w:r>
      <w:r w:rsidRPr="004415A5">
        <w:t xml:space="preserve"> personali miġbura fil-kuntest tal-investigazzjonijiet kriminali u pproċessata </w:t>
      </w:r>
      <w:proofErr w:type="spellStart"/>
      <w:r w:rsidRPr="004415A5">
        <w:t>ulterjorment</w:t>
      </w:r>
      <w:proofErr w:type="spellEnd"/>
      <w:r w:rsidRPr="004415A5">
        <w:t xml:space="preserve"> mill-</w:t>
      </w:r>
      <w:proofErr w:type="spellStart"/>
      <w:r w:rsidRPr="004415A5">
        <w:t>Europol</w:t>
      </w:r>
      <w:proofErr w:type="spellEnd"/>
      <w:r w:rsidRPr="004415A5">
        <w:t xml:space="preserve"> għall-ġenerazzjoni tal-intelliġenza kriminali jista’ jkollhom impatt sinifikanti fuq il-ħajja tal-individwi </w:t>
      </w:r>
      <w:proofErr w:type="spellStart"/>
      <w:r w:rsidRPr="004415A5">
        <w:t>kkonċernati</w:t>
      </w:r>
      <w:proofErr w:type="spellEnd"/>
      <w:r w:rsidRPr="004415A5">
        <w:t xml:space="preserve">, peress li potenzjalment jistgħu jintużaw fil-każijiet ta’ prosekuzzjoni fil-pajjiż </w:t>
      </w:r>
      <w:proofErr w:type="spellStart"/>
      <w:r w:rsidRPr="004415A5">
        <w:t>riċeventi</w:t>
      </w:r>
      <w:proofErr w:type="spellEnd"/>
      <w:r w:rsidRPr="004415A5">
        <w:t xml:space="preserve"> taħt il-liġi nazzjonali tiegħu. Għaldaqstant, il-ftehim internazzjonali jrid jiżgura li l-limitazzjonijiet għad-drittijiet għall-privatezza u l-protezzjoni tad-</w:t>
      </w:r>
      <w:r w:rsidRPr="004415A5">
        <w:rPr>
          <w:i/>
          <w:iCs/>
        </w:rPr>
        <w:t>data</w:t>
      </w:r>
      <w:r w:rsidRPr="004415A5">
        <w:t xml:space="preserve"> b’rabta mal-ġlieda kontra l-kriminalità serja u t-terroriżmu japplikaw biss sa fejn ikun strettament meħtieġ.</w:t>
      </w:r>
    </w:p>
    <w:p w:rsidRPr="004415A5" w:rsidR="002335D6" w:rsidP="002335D6" w:rsidRDefault="002335D6" w14:paraId="031C4107" w14:textId="77777777">
      <w:pPr>
        <w:pStyle w:val="ListParagraph"/>
        <w:spacing w:after="120"/>
        <w:ind w:left="360" w:right="-165"/>
      </w:pPr>
    </w:p>
    <w:p w:rsidRPr="004415A5" w:rsidR="002335D6" w:rsidP="002335D6" w:rsidRDefault="002335D6" w14:paraId="6DF76482" w14:textId="77777777">
      <w:pPr>
        <w:pStyle w:val="ListParagraph"/>
        <w:numPr>
          <w:ilvl w:val="0"/>
          <w:numId w:val="29"/>
        </w:numPr>
        <w:spacing w:after="120"/>
        <w:ind w:right="-165"/>
      </w:pPr>
      <w:r w:rsidRPr="004415A5">
        <w:t>L-EDPS jilqa’ l-għan tal-mandat ta’ negozjar li jiżgura r-rispett għad-drittijiet fundamentali u josserva l-prinċipji rikonoxxuti mill-Karta, b’mod partikolari d-dritt għall-ħajja privata u tal-familja, rikonoxxut fl-Artikolu 7 tal-Karta, id-dritt għall-protezzjoni tad-</w:t>
      </w:r>
      <w:r w:rsidRPr="004415A5">
        <w:rPr>
          <w:i/>
          <w:iCs/>
        </w:rPr>
        <w:t>data</w:t>
      </w:r>
      <w:r w:rsidRPr="004415A5">
        <w:t xml:space="preserve"> personali fl-Artikolu 8 tal-Karta u d-dritt għal rimedju effettiv u proċess imparzjali fl-Artikolu 47 tal-Karta. Barra minn hekk, l-EDPS japprezza l-fatt li l-Kummissjoni inkorporat fil-mandat ta’ negozjar propost ma’ New Zealand numru ta’ rakkomandazzjonijiet speċifiċi diġà espressi mill-EDPS fl-Opinjoni tiegħu ta’ 2/2018 dwar tmien mandati ta’ negozjar biex jiġu konklużi </w:t>
      </w:r>
      <w:proofErr w:type="spellStart"/>
      <w:r w:rsidRPr="004415A5">
        <w:t>ftehimiet</w:t>
      </w:r>
      <w:proofErr w:type="spellEnd"/>
      <w:r w:rsidRPr="004415A5">
        <w:t xml:space="preserve"> internazzjonali li jippermettu l-iskambju ta’ </w:t>
      </w:r>
      <w:r w:rsidRPr="004415A5">
        <w:rPr>
          <w:i/>
          <w:iCs/>
        </w:rPr>
        <w:t>data</w:t>
      </w:r>
      <w:r w:rsidRPr="004415A5">
        <w:t xml:space="preserve"> bejn il-</w:t>
      </w:r>
      <w:proofErr w:type="spellStart"/>
      <w:r w:rsidRPr="004415A5">
        <w:t>Europol</w:t>
      </w:r>
      <w:proofErr w:type="spellEnd"/>
      <w:r w:rsidRPr="004415A5">
        <w:t xml:space="preserve"> u pajjiżi terzi.</w:t>
      </w:r>
    </w:p>
    <w:p w:rsidRPr="004415A5" w:rsidR="002335D6" w:rsidP="002335D6" w:rsidRDefault="002335D6" w14:paraId="46D7CD8F" w14:textId="77777777">
      <w:pPr>
        <w:pStyle w:val="ListParagraph"/>
        <w:spacing w:after="120"/>
        <w:ind w:left="360" w:right="-165"/>
      </w:pPr>
    </w:p>
    <w:p w:rsidRPr="004415A5" w:rsidR="002335D6" w:rsidP="002335D6" w:rsidRDefault="002335D6" w14:paraId="5FF5BAF1" w14:textId="77777777">
      <w:pPr>
        <w:pStyle w:val="ListParagraph"/>
        <w:numPr>
          <w:ilvl w:val="0"/>
          <w:numId w:val="29"/>
        </w:numPr>
        <w:ind w:right="-165"/>
      </w:pPr>
      <w:r w:rsidRPr="004415A5">
        <w:t xml:space="preserve">Ir-rakkomandazzjonijiet tal-EDPS f’din l-Opinjoni huma </w:t>
      </w:r>
      <w:proofErr w:type="spellStart"/>
      <w:r w:rsidRPr="004415A5">
        <w:t>mmirati</w:t>
      </w:r>
      <w:proofErr w:type="spellEnd"/>
      <w:r w:rsidRPr="004415A5">
        <w:t xml:space="preserve"> biex </w:t>
      </w:r>
      <w:proofErr w:type="spellStart"/>
      <w:r w:rsidRPr="004415A5">
        <w:t>jikkjarifikaw</w:t>
      </w:r>
      <w:proofErr w:type="spellEnd"/>
      <w:r w:rsidRPr="004415A5">
        <w:t xml:space="preserve"> u, fejn meħtieġ, ikomplu jiżviluppaw is-salvagwardji u l-kontrolli fil-Ftehim futur fir-rigward tal-protezzjoni tad-</w:t>
      </w:r>
      <w:r w:rsidRPr="004415A5">
        <w:rPr>
          <w:i/>
          <w:iCs/>
        </w:rPr>
        <w:t>data</w:t>
      </w:r>
      <w:r w:rsidRPr="004415A5">
        <w:t xml:space="preserve"> personali fil-kuntest speċifiku ta’ New Zealand. Dawn huma mingħajr preġudizzju għal kwalunkwe rakkomandazzjoni addizzjonali li l-EDPS jista’ jagħmel abbażi ta’ informazzjoni ulterjuri disponibbli matul in-negozjati.</w:t>
      </w:r>
    </w:p>
    <w:p w:rsidRPr="004415A5" w:rsidR="002335D6" w:rsidP="002335D6" w:rsidRDefault="002335D6" w14:paraId="7111A124" w14:textId="77777777">
      <w:pPr>
        <w:pStyle w:val="ListParagraph"/>
        <w:spacing w:after="120"/>
        <w:ind w:left="360" w:right="-165"/>
      </w:pPr>
    </w:p>
    <w:p w:rsidRPr="004415A5" w:rsidR="002335D6" w:rsidP="002335D6" w:rsidRDefault="002335D6" w14:paraId="4C5FCA01" w14:textId="77777777">
      <w:pPr>
        <w:pStyle w:val="ListParagraph"/>
        <w:numPr>
          <w:ilvl w:val="0"/>
          <w:numId w:val="29"/>
        </w:numPr>
        <w:spacing w:after="120"/>
        <w:ind w:right="-165"/>
      </w:pPr>
      <w:r w:rsidRPr="004415A5">
        <w:t>Għal dan il-għan, l-EDPS jirrepeti l-pożizzjoni tiegħu mill-opinjonijiet preċedenti tiegħu</w:t>
      </w:r>
      <w:r w:rsidRPr="004415A5">
        <w:rPr>
          <w:rStyle w:val="EndnoteReference"/>
        </w:rPr>
        <w:endnoteReference w:id="7"/>
      </w:r>
      <w:r w:rsidRPr="004415A5">
        <w:t xml:space="preserve"> li d-Deċiżjoni tal-Kunsill li tawtorizza l-ftuħ tan-negozjati skont l-Artikolu 218 tat-TFUE għandu jkun fiha referenza mhux biss għall-bażi legali proċedurali iżda wkoll għall-bażi legali </w:t>
      </w:r>
      <w:proofErr w:type="spellStart"/>
      <w:r w:rsidRPr="004415A5">
        <w:t>sostantiva</w:t>
      </w:r>
      <w:proofErr w:type="spellEnd"/>
      <w:r w:rsidRPr="004415A5">
        <w:t xml:space="preserve"> relevanti, li għandha tinkludi l-Artikolu 16 tat-TFUE. Sussegwentement, </w:t>
      </w:r>
      <w:r w:rsidRPr="004415A5">
        <w:lastRenderedPageBreak/>
        <w:t>f’</w:t>
      </w:r>
      <w:proofErr w:type="spellStart"/>
      <w:r w:rsidRPr="004415A5">
        <w:t>konformità</w:t>
      </w:r>
      <w:proofErr w:type="spellEnd"/>
      <w:r w:rsidRPr="004415A5">
        <w:t xml:space="preserve"> mal-prinċipju tal-limitazzjoni tal-iskop, il-Ftehim futur għandu jistabbilixxi b’mod espliċitu l-lista tar-reati kriminali li dwarhom jista’ jsir skambju ta’ </w:t>
      </w:r>
      <w:r w:rsidRPr="004415A5">
        <w:rPr>
          <w:i/>
          <w:iCs/>
        </w:rPr>
        <w:t>data</w:t>
      </w:r>
      <w:r w:rsidRPr="004415A5">
        <w:t xml:space="preserve"> personali. Barra minn hekk, sabiex tkun żgurata l-implimentazzjoni prattika tal-prinċipju tal-limitazzjoni tal-</w:t>
      </w:r>
      <w:proofErr w:type="spellStart"/>
      <w:r w:rsidRPr="004415A5">
        <w:t>ħżin</w:t>
      </w:r>
      <w:proofErr w:type="spellEnd"/>
      <w:r w:rsidRPr="004415A5">
        <w:t xml:space="preserve">, il-Ftehim futur għandu speċifikament jipprovdi għal </w:t>
      </w:r>
      <w:proofErr w:type="spellStart"/>
      <w:r w:rsidRPr="004415A5">
        <w:t>rieżami</w:t>
      </w:r>
      <w:proofErr w:type="spellEnd"/>
      <w:r w:rsidRPr="004415A5">
        <w:t xml:space="preserve"> perjodiku tal-ħtieġa għal aktar </w:t>
      </w:r>
      <w:proofErr w:type="spellStart"/>
      <w:r w:rsidRPr="004415A5">
        <w:t>ħżin</w:t>
      </w:r>
      <w:proofErr w:type="spellEnd"/>
      <w:r w:rsidRPr="004415A5">
        <w:t xml:space="preserve"> tad-</w:t>
      </w:r>
      <w:r w:rsidRPr="004415A5">
        <w:rPr>
          <w:i/>
          <w:iCs/>
        </w:rPr>
        <w:t>data</w:t>
      </w:r>
      <w:r w:rsidRPr="004415A5">
        <w:t xml:space="preserve"> personali trasferita. Finalment, minħabba l-importanza speċjali tad-dritt għall-informazzjoni għall-eżerċizzju tad-drittijiet l-oħra tal-protezzjoni tad-</w:t>
      </w:r>
      <w:r w:rsidRPr="004415A5">
        <w:rPr>
          <w:i/>
          <w:iCs/>
        </w:rPr>
        <w:t>data</w:t>
      </w:r>
      <w:r w:rsidRPr="004415A5">
        <w:t>, l-EDPS jenfasizza l-ħtieġa għal regoli ċari u dettaljati rigward l-informazzjoni li għandha tiġi pprovduta lis-suġġetti tad-</w:t>
      </w:r>
      <w:r w:rsidRPr="004415A5">
        <w:rPr>
          <w:i/>
          <w:iCs/>
        </w:rPr>
        <w:t>data</w:t>
      </w:r>
      <w:r w:rsidRPr="004415A5">
        <w:t>.</w:t>
      </w:r>
    </w:p>
    <w:p w:rsidRPr="004415A5" w:rsidR="002335D6" w:rsidP="002335D6" w:rsidRDefault="002335D6" w14:paraId="11D55FCF" w14:textId="3BB65FF5">
      <w:pPr>
        <w:pStyle w:val="ListParagraph"/>
        <w:spacing w:after="120"/>
        <w:ind w:left="360" w:right="-165"/>
      </w:pPr>
    </w:p>
    <w:p w:rsidRPr="004415A5" w:rsidR="002335D6" w:rsidP="002335D6" w:rsidRDefault="002335D6" w14:paraId="41C93AB3" w14:textId="77777777">
      <w:pPr>
        <w:pStyle w:val="ListParagraph"/>
        <w:numPr>
          <w:ilvl w:val="0"/>
          <w:numId w:val="29"/>
        </w:numPr>
        <w:spacing w:after="120"/>
        <w:ind w:right="-165"/>
      </w:pPr>
      <w:r w:rsidRPr="004415A5">
        <w:t xml:space="preserve">L-EDPS jibqa’ għad-dispożizzjoni tal-Kummissjoni, tal-Kunsill u tal-Parlament Ewropew biex jipprovdi pariri waqt stadji aktar tard ta’ dan il-proċess. Il-kummenti f’din l-Opinjoni huma mingħajr preġudizzju għal kwalunkwe kumment addizzjonali li l-EDPS jista’ jagħmel hekk kif jistgħu jirriżultaw kwistjonijiet ulterjuri u li imbagħad jiġu indirizzati ladarba tkun disponibbli aktar informazzjoni. Għal dan il-għan, l-EDPS jistenna li jiġi </w:t>
      </w:r>
      <w:proofErr w:type="spellStart"/>
      <w:r w:rsidRPr="004415A5">
        <w:t>kkonsultat</w:t>
      </w:r>
      <w:proofErr w:type="spellEnd"/>
      <w:r w:rsidRPr="004415A5">
        <w:t xml:space="preserve"> aktar tard dwar id-dispożizzjonijiet tal-abbozz tal-Ftehim qabel il-finalizzazzjoni tiegħu.</w:t>
      </w:r>
    </w:p>
    <w:p w:rsidRPr="004415A5" w:rsidR="002335D6" w:rsidP="002335D6" w:rsidRDefault="002335D6" w14:paraId="5FDDCF33" w14:textId="77777777">
      <w:pPr>
        <w:spacing w:after="120"/>
        <w:ind w:right="-165"/>
      </w:pPr>
    </w:p>
    <w:p w:rsidRPr="004415A5" w:rsidR="002335D6" w:rsidP="002335D6" w:rsidRDefault="002335D6" w14:paraId="5B62C020" w14:textId="77777777">
      <w:pPr>
        <w:spacing w:after="120"/>
        <w:ind w:right="-165"/>
      </w:pPr>
      <w:r w:rsidRPr="004415A5">
        <w:t>Brussell, il-31 ta’ Jannar 2020</w:t>
      </w:r>
    </w:p>
    <w:p w:rsidRPr="004415A5" w:rsidR="002335D6" w:rsidP="002335D6" w:rsidRDefault="002335D6" w14:paraId="76717B57" w14:textId="0D7A3346">
      <w:pPr>
        <w:ind w:right="-165"/>
        <w:jc w:val="left"/>
        <w:rPr>
          <w:sz w:val="32"/>
          <w:szCs w:val="32"/>
        </w:rPr>
      </w:pPr>
      <w:proofErr w:type="spellStart"/>
      <w:r w:rsidRPr="004415A5">
        <w:t>Wojciech</w:t>
      </w:r>
      <w:proofErr w:type="spellEnd"/>
      <w:r w:rsidRPr="004415A5">
        <w:t xml:space="preserve"> </w:t>
      </w:r>
      <w:proofErr w:type="spellStart"/>
      <w:r w:rsidRPr="004415A5">
        <w:t>Rafał</w:t>
      </w:r>
      <w:proofErr w:type="spellEnd"/>
      <w:r w:rsidRPr="004415A5">
        <w:t xml:space="preserve"> WIEWIÓROWSKI </w:t>
      </w:r>
      <w:r w:rsidRPr="004415A5">
        <w:br w:type="page"/>
      </w:r>
    </w:p>
    <w:p w:rsidRPr="004415A5" w:rsidR="00F92ABA" w:rsidP="00F92ABA" w:rsidRDefault="00F92ABA" w14:paraId="695A4C52" w14:textId="77777777">
      <w:pPr>
        <w:pStyle w:val="Heading1"/>
        <w:numPr>
          <w:ilvl w:val="0"/>
          <w:numId w:val="0"/>
        </w:numPr>
        <w:rPr>
          <w:sz w:val="32"/>
          <w:szCs w:val="32"/>
        </w:rPr>
      </w:pPr>
      <w:bookmarkStart w:name="_Toc435701394" w:id="4"/>
      <w:bookmarkStart w:name="_Toc12030807" w:id="5"/>
      <w:bookmarkEnd w:id="2"/>
      <w:r w:rsidRPr="004415A5">
        <w:rPr>
          <w:sz w:val="32"/>
          <w:szCs w:val="32"/>
        </w:rPr>
        <w:lastRenderedPageBreak/>
        <w:t>Noti</w:t>
      </w:r>
      <w:bookmarkEnd w:id="4"/>
      <w:bookmarkEnd w:id="5"/>
    </w:p>
    <w:sectPr w:rsidRPr="004415A5" w:rsidR="00F92ABA" w:rsidSect="007159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1440" w:right="1440" w:bottom="1560" w:left="1440" w:header="709" w:footer="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031D5" w14:textId="77777777" w:rsidR="004A1172" w:rsidRDefault="004A1172" w:rsidP="00EE2109">
      <w:r>
        <w:separator/>
      </w:r>
    </w:p>
  </w:endnote>
  <w:endnote w:type="continuationSeparator" w:id="0">
    <w:p w14:paraId="22316458" w14:textId="77777777" w:rsidR="004A1172" w:rsidRDefault="004A1172" w:rsidP="00EE2109">
      <w:r>
        <w:continuationSeparator/>
      </w:r>
    </w:p>
  </w:endnote>
  <w:endnote w:id="1">
    <w:p w14:paraId="5A4F80D4" w14:textId="5BBAFC71" w:rsidR="007159BC" w:rsidRPr="009E615A" w:rsidRDefault="007159BC" w:rsidP="007159BC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hAnsi="Times New Roman"/>
        </w:rPr>
        <w:t>ĠU L 135, 24.5.2016, p. 53.</w:t>
      </w:r>
    </w:p>
  </w:endnote>
  <w:endnote w:id="2">
    <w:p w14:paraId="370E25D3" w14:textId="77777777" w:rsidR="007159BC" w:rsidRPr="008B1F2A" w:rsidRDefault="007159BC" w:rsidP="007159BC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hAnsi="Times New Roman"/>
        </w:rPr>
        <w:t>COM(2015) 185 finali.</w:t>
      </w:r>
    </w:p>
  </w:endnote>
  <w:endnote w:id="3">
    <w:p w14:paraId="34CDDD34" w14:textId="77777777" w:rsidR="007159BC" w:rsidRPr="009E7267" w:rsidRDefault="007159BC" w:rsidP="007159BC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hAnsi="Times New Roman"/>
        </w:rPr>
        <w:t>Dokument tal-Kunsill 10384/17, tad-19 ta’ Ġunju 2017.</w:t>
      </w:r>
    </w:p>
  </w:endnote>
  <w:endnote w:id="4">
    <w:p w14:paraId="58ABEDA7" w14:textId="2F735916" w:rsidR="007159BC" w:rsidRPr="006A622E" w:rsidRDefault="007159BC" w:rsidP="007159BC">
      <w:pPr>
        <w:pStyle w:val="EndnoteText"/>
        <w:jc w:val="both"/>
        <w:rPr>
          <w:rFonts w:ascii="Times New Roman" w:hAnsi="Times New Roman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hAnsi="Times New Roman"/>
        </w:rPr>
        <w:t xml:space="preserve">Viżjoni Kondiviża, Azzjoni Komuni: Ewropa aktar b’Saħħitha - Strateġija Globali għall-Politika Estera u ta’ Sigurtà tal-Unjoni Ewropea </w:t>
      </w:r>
      <w:hyperlink r:id="rId1" w:history="1">
        <w:r>
          <w:rPr>
            <w:rStyle w:val="Hyperlink"/>
            <w:rFonts w:ascii="Times New Roman" w:hAnsi="Times New Roman"/>
          </w:rPr>
          <w:t>http://europa.eu/globalstrategy/en</w:t>
        </w:r>
      </w:hyperlink>
    </w:p>
  </w:endnote>
  <w:endnote w:id="5">
    <w:p w14:paraId="56C910BC" w14:textId="77777777" w:rsidR="007159BC" w:rsidRPr="009E7267" w:rsidRDefault="007159BC" w:rsidP="007159BC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hAnsi="Times New Roman"/>
        </w:rPr>
        <w:t>COM(2019) 551 finali.</w:t>
      </w:r>
    </w:p>
  </w:endnote>
  <w:endnote w:id="6">
    <w:p w14:paraId="7A93D9CE" w14:textId="77777777" w:rsidR="007159BC" w:rsidRDefault="007159BC" w:rsidP="007159BC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Times New Roman" w:hAnsi="Times New Roman"/>
        </w:rPr>
        <w:t>Ara d-Direttiva 1 tal-Anness.</w:t>
      </w:r>
    </w:p>
  </w:endnote>
  <w:endnote w:id="7">
    <w:p w14:paraId="7A95B223" w14:textId="772D7941" w:rsidR="002335D6" w:rsidRPr="00FC1F8F" w:rsidRDefault="002335D6" w:rsidP="002335D6">
      <w:pPr>
        <w:pStyle w:val="EndnoteText"/>
        <w:jc w:val="both"/>
        <w:rPr>
          <w:rFonts w:ascii="Times New Roman" w:hAnsi="Times New Roman"/>
        </w:rPr>
      </w:pPr>
      <w:r>
        <w:rPr>
          <w:rStyle w:val="EndnoteReference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Ara l-Opinjoni 6/2019 tal-EDPS dwar il-mandat ta’ negozjar ta’ Ftehim bejn l-UE u l-Ġappun għat-trasferiment u l-użu tad-</w:t>
      </w:r>
      <w:r>
        <w:rPr>
          <w:rFonts w:ascii="Times New Roman" w:hAnsi="Times New Roman"/>
          <w:i/>
          <w:iCs/>
        </w:rPr>
        <w:t>data</w:t>
      </w:r>
      <w:r>
        <w:rPr>
          <w:rFonts w:ascii="Times New Roman" w:hAnsi="Times New Roman"/>
        </w:rPr>
        <w:t xml:space="preserve"> tar-Reġistru tal-Ismijiet tal-Passiġġieri, l-Opinjoni 2/2019 tal-EDPS dwar il-mandat ta’ negozjar ta’ ftehim bejn l-UE u l-Istati Uniti fir-rigward tal-aċċess transkonfinali għal evidenza elettronika u l-Opinjoni 3/2019 tal-EDPS dwar il-parteċipazzjoni fin-negozjati dwar it-Tieni Protokoll Addizzjonali għall-Konvenzjoni dwar iċ-Ċiberkriminalità ta’ Budapest, disponibbli fuq </w:t>
      </w:r>
      <w:hyperlink r:id="rId2" w:history="1">
        <w:r>
          <w:rPr>
            <w:rStyle w:val="Hyperlink"/>
            <w:rFonts w:ascii="Times New Roman" w:hAnsi="Times New Roman"/>
          </w:rPr>
          <w:t>https://edps.europa.eu/data-protection/our-work/our-work-by-type/opinions_en</w:t>
        </w:r>
      </w:hyperlink>
    </w:p>
    <w:p w14:paraId="5BDFDA88" w14:textId="77777777" w:rsidR="002335D6" w:rsidRPr="00FC1F8F" w:rsidRDefault="002335D6" w:rsidP="002335D6">
      <w:pPr>
        <w:pStyle w:val="EndnoteText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5A5" w:rsidRDefault="004415A5" w14:paraId="3FF2BD1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415A5" w:rsidR="004415A5" w:rsidRDefault="004415A5" w14:paraId="63E71FA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415A5" w:rsidR="004415A5" w:rsidRDefault="004415A5" w14:paraId="7760777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45147" w14:textId="77777777" w:rsidR="004A1172" w:rsidRDefault="004A1172" w:rsidP="00EE2109">
      <w:r>
        <w:separator/>
      </w:r>
    </w:p>
  </w:footnote>
  <w:footnote w:type="continuationSeparator" w:id="0">
    <w:p w14:paraId="1CF3BB3B" w14:textId="77777777" w:rsidR="004A1172" w:rsidRDefault="004A1172" w:rsidP="00EE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5A5" w:rsidRDefault="004415A5" w14:paraId="06F5C23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415A5" w:rsidR="004415A5" w:rsidRDefault="004415A5" w14:paraId="3D543E9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415A5" w:rsidR="004415A5" w:rsidRDefault="004415A5" w14:paraId="24F6741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BA7"/>
    <w:multiLevelType w:val="hybridMultilevel"/>
    <w:tmpl w:val="0D9C7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3E86"/>
    <w:multiLevelType w:val="hybridMultilevel"/>
    <w:tmpl w:val="7730076E"/>
    <w:lvl w:ilvl="0" w:tplc="69901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E3F22"/>
    <w:multiLevelType w:val="hybridMultilevel"/>
    <w:tmpl w:val="9580B712"/>
    <w:lvl w:ilvl="0" w:tplc="047EBCC4">
      <w:start w:val="2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45497"/>
    <w:multiLevelType w:val="hybridMultilevel"/>
    <w:tmpl w:val="858E0D5E"/>
    <w:lvl w:ilvl="0" w:tplc="4BBE34F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94815"/>
    <w:multiLevelType w:val="hybridMultilevel"/>
    <w:tmpl w:val="12162736"/>
    <w:lvl w:ilvl="0" w:tplc="B074F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D475B"/>
    <w:multiLevelType w:val="multilevel"/>
    <w:tmpl w:val="77E28552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82E57AC"/>
    <w:multiLevelType w:val="hybridMultilevel"/>
    <w:tmpl w:val="8B12B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E57E5"/>
    <w:multiLevelType w:val="multilevel"/>
    <w:tmpl w:val="E07484C6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B275B65"/>
    <w:multiLevelType w:val="hybridMultilevel"/>
    <w:tmpl w:val="DCF0A260"/>
    <w:lvl w:ilvl="0" w:tplc="D4C07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341A1"/>
    <w:multiLevelType w:val="multilevel"/>
    <w:tmpl w:val="C472B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4894EB6"/>
    <w:multiLevelType w:val="hybridMultilevel"/>
    <w:tmpl w:val="9A0427DA"/>
    <w:lvl w:ilvl="0" w:tplc="BD24B5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17C92"/>
    <w:multiLevelType w:val="multilevel"/>
    <w:tmpl w:val="9D7C33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0C95B03"/>
    <w:multiLevelType w:val="hybridMultilevel"/>
    <w:tmpl w:val="BC129A1E"/>
    <w:lvl w:ilvl="0" w:tplc="B074F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23E02"/>
    <w:multiLevelType w:val="multilevel"/>
    <w:tmpl w:val="B5949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FAE25FF"/>
    <w:multiLevelType w:val="multilevel"/>
    <w:tmpl w:val="9D7C33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73C0283"/>
    <w:multiLevelType w:val="hybridMultilevel"/>
    <w:tmpl w:val="E23C9DD6"/>
    <w:lvl w:ilvl="0" w:tplc="3932AB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01F24"/>
    <w:multiLevelType w:val="multilevel"/>
    <w:tmpl w:val="E58E18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97302CE"/>
    <w:multiLevelType w:val="multilevel"/>
    <w:tmpl w:val="6B923C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FDE3765"/>
    <w:multiLevelType w:val="hybridMultilevel"/>
    <w:tmpl w:val="B9740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1207D"/>
    <w:multiLevelType w:val="hybridMultilevel"/>
    <w:tmpl w:val="4B72D6B0"/>
    <w:lvl w:ilvl="0" w:tplc="B074F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4C53C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C7DBB"/>
    <w:multiLevelType w:val="hybridMultilevel"/>
    <w:tmpl w:val="922E5F32"/>
    <w:lvl w:ilvl="0" w:tplc="B074F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E4F24"/>
    <w:multiLevelType w:val="multilevel"/>
    <w:tmpl w:val="2F8427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94E4EB4"/>
    <w:multiLevelType w:val="hybridMultilevel"/>
    <w:tmpl w:val="4E78AF06"/>
    <w:lvl w:ilvl="0" w:tplc="E5BE3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lang w:val="en-GB"/>
      </w:rPr>
    </w:lvl>
    <w:lvl w:ilvl="1" w:tplc="0809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b w:val="0"/>
        <w:i w:val="0"/>
        <w:vertAlign w:val="baseline"/>
      </w:rPr>
    </w:lvl>
    <w:lvl w:ilvl="2" w:tplc="67743F40">
      <w:start w:val="1"/>
      <w:numFmt w:val="lowerLetter"/>
      <w:lvlText w:val="(%3)"/>
      <w:lvlJc w:val="left"/>
      <w:pPr>
        <w:ind w:left="2318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b w:val="0"/>
        <w:i w:val="0"/>
        <w:vertAlign w:val="baseline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23" w15:restartNumberingAfterBreak="0">
    <w:nsid w:val="60B671A4"/>
    <w:multiLevelType w:val="hybridMultilevel"/>
    <w:tmpl w:val="EF925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D5A3A"/>
    <w:multiLevelType w:val="hybridMultilevel"/>
    <w:tmpl w:val="569AC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40CA6"/>
    <w:multiLevelType w:val="multilevel"/>
    <w:tmpl w:val="F6DCDCC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DDA1E10"/>
    <w:multiLevelType w:val="hybridMultilevel"/>
    <w:tmpl w:val="870AED6E"/>
    <w:lvl w:ilvl="0" w:tplc="58228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07F93"/>
    <w:multiLevelType w:val="multilevel"/>
    <w:tmpl w:val="B6847B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F8C1EBB"/>
    <w:multiLevelType w:val="hybridMultilevel"/>
    <w:tmpl w:val="44222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26"/>
  </w:num>
  <w:num w:numId="5">
    <w:abstractNumId w:val="16"/>
  </w:num>
  <w:num w:numId="6">
    <w:abstractNumId w:val="18"/>
  </w:num>
  <w:num w:numId="7">
    <w:abstractNumId w:val="24"/>
  </w:num>
  <w:num w:numId="8">
    <w:abstractNumId w:val="8"/>
  </w:num>
  <w:num w:numId="9">
    <w:abstractNumId w:val="22"/>
  </w:num>
  <w:num w:numId="10">
    <w:abstractNumId w:val="0"/>
  </w:num>
  <w:num w:numId="11">
    <w:abstractNumId w:val="28"/>
  </w:num>
  <w:num w:numId="12">
    <w:abstractNumId w:val="23"/>
  </w:num>
  <w:num w:numId="13">
    <w:abstractNumId w:val="6"/>
  </w:num>
  <w:num w:numId="14">
    <w:abstractNumId w:val="4"/>
  </w:num>
  <w:num w:numId="15">
    <w:abstractNumId w:val="10"/>
  </w:num>
  <w:num w:numId="16">
    <w:abstractNumId w:val="19"/>
  </w:num>
  <w:num w:numId="17">
    <w:abstractNumId w:val="15"/>
  </w:num>
  <w:num w:numId="18">
    <w:abstractNumId w:val="3"/>
  </w:num>
  <w:num w:numId="19">
    <w:abstractNumId w:val="13"/>
  </w:num>
  <w:num w:numId="20">
    <w:abstractNumId w:val="20"/>
  </w:num>
  <w:num w:numId="21">
    <w:abstractNumId w:val="12"/>
  </w:num>
  <w:num w:numId="22">
    <w:abstractNumId w:val="14"/>
  </w:num>
  <w:num w:numId="23">
    <w:abstractNumId w:val="27"/>
  </w:num>
  <w:num w:numId="24">
    <w:abstractNumId w:val="21"/>
  </w:num>
  <w:num w:numId="25">
    <w:abstractNumId w:val="25"/>
  </w:num>
  <w:num w:numId="26">
    <w:abstractNumId w:val="7"/>
  </w:num>
  <w:num w:numId="27">
    <w:abstractNumId w:val="11"/>
  </w:num>
  <w:num w:numId="28">
    <w:abstractNumId w:val="1"/>
  </w:num>
  <w:num w:numId="2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pt-PT" w:vendorID="64" w:dllVersion="6" w:nlCheck="1" w:checkStyle="0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4096" w:nlCheck="1" w:checkStyle="0"/>
  <w:activeWritingStyle w:appName="MSWord" w:lang="pl-PL" w:vendorID="64" w:dllVersion="4096" w:nlCheck="1" w:checkStyle="0"/>
  <w:activeWritingStyle w:appName="MSWord" w:lang="pt-PT" w:vendorID="64" w:dllVersion="4096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109"/>
    <w:rsid w:val="00001F64"/>
    <w:rsid w:val="00007024"/>
    <w:rsid w:val="00010CBF"/>
    <w:rsid w:val="00011F25"/>
    <w:rsid w:val="00014506"/>
    <w:rsid w:val="00014B24"/>
    <w:rsid w:val="000154A5"/>
    <w:rsid w:val="00033562"/>
    <w:rsid w:val="0003564C"/>
    <w:rsid w:val="00037C8D"/>
    <w:rsid w:val="00040497"/>
    <w:rsid w:val="00041759"/>
    <w:rsid w:val="00044335"/>
    <w:rsid w:val="000505CB"/>
    <w:rsid w:val="000511C3"/>
    <w:rsid w:val="00051C38"/>
    <w:rsid w:val="000529F8"/>
    <w:rsid w:val="0005571D"/>
    <w:rsid w:val="00057664"/>
    <w:rsid w:val="00057C09"/>
    <w:rsid w:val="00065A7A"/>
    <w:rsid w:val="00073A02"/>
    <w:rsid w:val="000752FA"/>
    <w:rsid w:val="000760C6"/>
    <w:rsid w:val="0007644D"/>
    <w:rsid w:val="00076A31"/>
    <w:rsid w:val="000806DF"/>
    <w:rsid w:val="00086451"/>
    <w:rsid w:val="000957ED"/>
    <w:rsid w:val="000966DD"/>
    <w:rsid w:val="00097A9C"/>
    <w:rsid w:val="000A03E5"/>
    <w:rsid w:val="000A165C"/>
    <w:rsid w:val="000A1C01"/>
    <w:rsid w:val="000A709D"/>
    <w:rsid w:val="000B01C4"/>
    <w:rsid w:val="000B02B4"/>
    <w:rsid w:val="000B23D3"/>
    <w:rsid w:val="000B32B8"/>
    <w:rsid w:val="000B40E9"/>
    <w:rsid w:val="000B7EC8"/>
    <w:rsid w:val="000C0FCA"/>
    <w:rsid w:val="000C16D2"/>
    <w:rsid w:val="000C20E0"/>
    <w:rsid w:val="000C6282"/>
    <w:rsid w:val="000D0219"/>
    <w:rsid w:val="000D6C70"/>
    <w:rsid w:val="000E23D7"/>
    <w:rsid w:val="000E48E9"/>
    <w:rsid w:val="000F00CE"/>
    <w:rsid w:val="000F33CF"/>
    <w:rsid w:val="000F4438"/>
    <w:rsid w:val="000F6959"/>
    <w:rsid w:val="00101F86"/>
    <w:rsid w:val="001024A2"/>
    <w:rsid w:val="00105B54"/>
    <w:rsid w:val="00106ED4"/>
    <w:rsid w:val="00111EE6"/>
    <w:rsid w:val="001127F5"/>
    <w:rsid w:val="001163C7"/>
    <w:rsid w:val="00121625"/>
    <w:rsid w:val="001223EB"/>
    <w:rsid w:val="00126176"/>
    <w:rsid w:val="0012671F"/>
    <w:rsid w:val="00130BB2"/>
    <w:rsid w:val="00136B7F"/>
    <w:rsid w:val="001375D1"/>
    <w:rsid w:val="0014071B"/>
    <w:rsid w:val="00146F3B"/>
    <w:rsid w:val="00152B43"/>
    <w:rsid w:val="00152D82"/>
    <w:rsid w:val="00154AC6"/>
    <w:rsid w:val="0015759F"/>
    <w:rsid w:val="00164E5D"/>
    <w:rsid w:val="001733C8"/>
    <w:rsid w:val="00173BCD"/>
    <w:rsid w:val="001749E5"/>
    <w:rsid w:val="00180DFE"/>
    <w:rsid w:val="00181448"/>
    <w:rsid w:val="00183309"/>
    <w:rsid w:val="001834C6"/>
    <w:rsid w:val="00183828"/>
    <w:rsid w:val="0018626A"/>
    <w:rsid w:val="00186C7E"/>
    <w:rsid w:val="00192EF8"/>
    <w:rsid w:val="00194EAB"/>
    <w:rsid w:val="001A3513"/>
    <w:rsid w:val="001A3CEF"/>
    <w:rsid w:val="001B02D8"/>
    <w:rsid w:val="001B364E"/>
    <w:rsid w:val="001B5FE0"/>
    <w:rsid w:val="001B75C4"/>
    <w:rsid w:val="001C0ABC"/>
    <w:rsid w:val="001C12AE"/>
    <w:rsid w:val="001C1C94"/>
    <w:rsid w:val="001C393D"/>
    <w:rsid w:val="001C5CB6"/>
    <w:rsid w:val="001C5EFE"/>
    <w:rsid w:val="001D1E3B"/>
    <w:rsid w:val="001D419A"/>
    <w:rsid w:val="001D7BD9"/>
    <w:rsid w:val="001E0B04"/>
    <w:rsid w:val="001E2BAD"/>
    <w:rsid w:val="001E4ABE"/>
    <w:rsid w:val="001E6C10"/>
    <w:rsid w:val="001F0032"/>
    <w:rsid w:val="001F059A"/>
    <w:rsid w:val="001F110A"/>
    <w:rsid w:val="001F4614"/>
    <w:rsid w:val="001F61D5"/>
    <w:rsid w:val="001F74BE"/>
    <w:rsid w:val="001F77A1"/>
    <w:rsid w:val="0021216C"/>
    <w:rsid w:val="00214A72"/>
    <w:rsid w:val="002164BD"/>
    <w:rsid w:val="00225155"/>
    <w:rsid w:val="002301FB"/>
    <w:rsid w:val="0023053C"/>
    <w:rsid w:val="002335D6"/>
    <w:rsid w:val="00237D55"/>
    <w:rsid w:val="00240EE0"/>
    <w:rsid w:val="002421B8"/>
    <w:rsid w:val="00247527"/>
    <w:rsid w:val="002477BA"/>
    <w:rsid w:val="00250C7C"/>
    <w:rsid w:val="00251CAB"/>
    <w:rsid w:val="00252C97"/>
    <w:rsid w:val="00254AD5"/>
    <w:rsid w:val="002569F6"/>
    <w:rsid w:val="00256DE1"/>
    <w:rsid w:val="002606BE"/>
    <w:rsid w:val="00261A8F"/>
    <w:rsid w:val="00264098"/>
    <w:rsid w:val="0026468E"/>
    <w:rsid w:val="00266445"/>
    <w:rsid w:val="00267E9B"/>
    <w:rsid w:val="00270F50"/>
    <w:rsid w:val="002737B5"/>
    <w:rsid w:val="0027595C"/>
    <w:rsid w:val="002810DD"/>
    <w:rsid w:val="00281C4C"/>
    <w:rsid w:val="0028263A"/>
    <w:rsid w:val="0028321A"/>
    <w:rsid w:val="00284E13"/>
    <w:rsid w:val="00285A96"/>
    <w:rsid w:val="0028626C"/>
    <w:rsid w:val="002A7A52"/>
    <w:rsid w:val="002B0025"/>
    <w:rsid w:val="002B0ED1"/>
    <w:rsid w:val="002B1DB6"/>
    <w:rsid w:val="002B221E"/>
    <w:rsid w:val="002B2257"/>
    <w:rsid w:val="002B3379"/>
    <w:rsid w:val="002B40DA"/>
    <w:rsid w:val="002C258C"/>
    <w:rsid w:val="002D33E6"/>
    <w:rsid w:val="002D4295"/>
    <w:rsid w:val="002E0B27"/>
    <w:rsid w:val="002E69B2"/>
    <w:rsid w:val="002E6BDF"/>
    <w:rsid w:val="002E7E1E"/>
    <w:rsid w:val="002F2E48"/>
    <w:rsid w:val="002F4E34"/>
    <w:rsid w:val="00300BDF"/>
    <w:rsid w:val="00302B46"/>
    <w:rsid w:val="003030A8"/>
    <w:rsid w:val="0030787A"/>
    <w:rsid w:val="00312B76"/>
    <w:rsid w:val="00314EED"/>
    <w:rsid w:val="00316AA7"/>
    <w:rsid w:val="00323C29"/>
    <w:rsid w:val="00330A98"/>
    <w:rsid w:val="00332C7F"/>
    <w:rsid w:val="003341B0"/>
    <w:rsid w:val="003356A0"/>
    <w:rsid w:val="003366AB"/>
    <w:rsid w:val="0034142F"/>
    <w:rsid w:val="00341B88"/>
    <w:rsid w:val="00343B76"/>
    <w:rsid w:val="0035019C"/>
    <w:rsid w:val="0035115D"/>
    <w:rsid w:val="00351B87"/>
    <w:rsid w:val="00352D1E"/>
    <w:rsid w:val="00365440"/>
    <w:rsid w:val="003661D2"/>
    <w:rsid w:val="00367F83"/>
    <w:rsid w:val="00373225"/>
    <w:rsid w:val="003814EB"/>
    <w:rsid w:val="0038457D"/>
    <w:rsid w:val="00386B21"/>
    <w:rsid w:val="003901D2"/>
    <w:rsid w:val="00393CEA"/>
    <w:rsid w:val="0039712A"/>
    <w:rsid w:val="00397A9F"/>
    <w:rsid w:val="00397D2C"/>
    <w:rsid w:val="003A220A"/>
    <w:rsid w:val="003A2895"/>
    <w:rsid w:val="003A2BB9"/>
    <w:rsid w:val="003A7EB0"/>
    <w:rsid w:val="003B3524"/>
    <w:rsid w:val="003B367B"/>
    <w:rsid w:val="003B3F22"/>
    <w:rsid w:val="003B66D9"/>
    <w:rsid w:val="003B6E66"/>
    <w:rsid w:val="003C0731"/>
    <w:rsid w:val="003C1BE3"/>
    <w:rsid w:val="003C35D5"/>
    <w:rsid w:val="003C42E0"/>
    <w:rsid w:val="003C4596"/>
    <w:rsid w:val="003C4970"/>
    <w:rsid w:val="003C7335"/>
    <w:rsid w:val="003D2218"/>
    <w:rsid w:val="003D347C"/>
    <w:rsid w:val="003D4107"/>
    <w:rsid w:val="003D5187"/>
    <w:rsid w:val="003E068E"/>
    <w:rsid w:val="003F2070"/>
    <w:rsid w:val="003F2B47"/>
    <w:rsid w:val="00400797"/>
    <w:rsid w:val="00402059"/>
    <w:rsid w:val="00402B9B"/>
    <w:rsid w:val="004040D8"/>
    <w:rsid w:val="004116F0"/>
    <w:rsid w:val="00414981"/>
    <w:rsid w:val="00414C73"/>
    <w:rsid w:val="00415899"/>
    <w:rsid w:val="0041607A"/>
    <w:rsid w:val="00417A3B"/>
    <w:rsid w:val="00421439"/>
    <w:rsid w:val="004415A5"/>
    <w:rsid w:val="00443651"/>
    <w:rsid w:val="00446002"/>
    <w:rsid w:val="00447784"/>
    <w:rsid w:val="004529D5"/>
    <w:rsid w:val="0045385D"/>
    <w:rsid w:val="00456876"/>
    <w:rsid w:val="0046171E"/>
    <w:rsid w:val="004632FE"/>
    <w:rsid w:val="004639FF"/>
    <w:rsid w:val="00464559"/>
    <w:rsid w:val="00470059"/>
    <w:rsid w:val="00470946"/>
    <w:rsid w:val="00473A52"/>
    <w:rsid w:val="004742DB"/>
    <w:rsid w:val="00486545"/>
    <w:rsid w:val="00486C67"/>
    <w:rsid w:val="00491ECE"/>
    <w:rsid w:val="004936DE"/>
    <w:rsid w:val="004947E1"/>
    <w:rsid w:val="00494B4A"/>
    <w:rsid w:val="004952E5"/>
    <w:rsid w:val="00495FFC"/>
    <w:rsid w:val="004A1172"/>
    <w:rsid w:val="004A7F6E"/>
    <w:rsid w:val="004B2750"/>
    <w:rsid w:val="004B4F3D"/>
    <w:rsid w:val="004B63F8"/>
    <w:rsid w:val="004B7E3B"/>
    <w:rsid w:val="004C0607"/>
    <w:rsid w:val="004C1A8D"/>
    <w:rsid w:val="004C27B2"/>
    <w:rsid w:val="004C29E4"/>
    <w:rsid w:val="004C67CF"/>
    <w:rsid w:val="004C7E2F"/>
    <w:rsid w:val="004C7EBE"/>
    <w:rsid w:val="004D0167"/>
    <w:rsid w:val="004D2021"/>
    <w:rsid w:val="004D4A20"/>
    <w:rsid w:val="004E19BF"/>
    <w:rsid w:val="004E28CB"/>
    <w:rsid w:val="004F0572"/>
    <w:rsid w:val="004F0CDC"/>
    <w:rsid w:val="004F1DCB"/>
    <w:rsid w:val="004F1F68"/>
    <w:rsid w:val="004F25FC"/>
    <w:rsid w:val="004F3850"/>
    <w:rsid w:val="004F38B9"/>
    <w:rsid w:val="004F39CC"/>
    <w:rsid w:val="004F4409"/>
    <w:rsid w:val="004F6920"/>
    <w:rsid w:val="00500753"/>
    <w:rsid w:val="005035D0"/>
    <w:rsid w:val="00503F3B"/>
    <w:rsid w:val="005053C8"/>
    <w:rsid w:val="00506106"/>
    <w:rsid w:val="00510A3C"/>
    <w:rsid w:val="00511F4F"/>
    <w:rsid w:val="0051238B"/>
    <w:rsid w:val="00512549"/>
    <w:rsid w:val="005147A1"/>
    <w:rsid w:val="005218A5"/>
    <w:rsid w:val="00523F80"/>
    <w:rsid w:val="0052422B"/>
    <w:rsid w:val="005243BE"/>
    <w:rsid w:val="005259B6"/>
    <w:rsid w:val="005261B3"/>
    <w:rsid w:val="00540195"/>
    <w:rsid w:val="005443D6"/>
    <w:rsid w:val="00544C56"/>
    <w:rsid w:val="00547E04"/>
    <w:rsid w:val="00555746"/>
    <w:rsid w:val="00555D25"/>
    <w:rsid w:val="005612BE"/>
    <w:rsid w:val="00567A57"/>
    <w:rsid w:val="00571068"/>
    <w:rsid w:val="00572AB7"/>
    <w:rsid w:val="00576226"/>
    <w:rsid w:val="005850A4"/>
    <w:rsid w:val="00586208"/>
    <w:rsid w:val="00590C34"/>
    <w:rsid w:val="00593D21"/>
    <w:rsid w:val="00594B4F"/>
    <w:rsid w:val="005970C5"/>
    <w:rsid w:val="005A4929"/>
    <w:rsid w:val="005A7CA9"/>
    <w:rsid w:val="005B26A2"/>
    <w:rsid w:val="005B36C4"/>
    <w:rsid w:val="005B3D89"/>
    <w:rsid w:val="005B4B62"/>
    <w:rsid w:val="005B547B"/>
    <w:rsid w:val="005B6491"/>
    <w:rsid w:val="005C3F5D"/>
    <w:rsid w:val="005C422E"/>
    <w:rsid w:val="005C77E1"/>
    <w:rsid w:val="005D3A0E"/>
    <w:rsid w:val="005D61D6"/>
    <w:rsid w:val="005D7BB0"/>
    <w:rsid w:val="005E01FF"/>
    <w:rsid w:val="005E3FDC"/>
    <w:rsid w:val="005E54A4"/>
    <w:rsid w:val="005E5F56"/>
    <w:rsid w:val="005E7481"/>
    <w:rsid w:val="005F05E7"/>
    <w:rsid w:val="005F37A2"/>
    <w:rsid w:val="00600E2E"/>
    <w:rsid w:val="00601842"/>
    <w:rsid w:val="006019FB"/>
    <w:rsid w:val="00606623"/>
    <w:rsid w:val="00613298"/>
    <w:rsid w:val="006139DF"/>
    <w:rsid w:val="00613AF6"/>
    <w:rsid w:val="00621B53"/>
    <w:rsid w:val="00622611"/>
    <w:rsid w:val="00624704"/>
    <w:rsid w:val="006252F5"/>
    <w:rsid w:val="0063369E"/>
    <w:rsid w:val="00633D28"/>
    <w:rsid w:val="00637697"/>
    <w:rsid w:val="0064285B"/>
    <w:rsid w:val="0064648F"/>
    <w:rsid w:val="006478F4"/>
    <w:rsid w:val="00650DB1"/>
    <w:rsid w:val="006541B0"/>
    <w:rsid w:val="00654851"/>
    <w:rsid w:val="006578F4"/>
    <w:rsid w:val="0066417F"/>
    <w:rsid w:val="00667A30"/>
    <w:rsid w:val="00667D2B"/>
    <w:rsid w:val="00671181"/>
    <w:rsid w:val="00671876"/>
    <w:rsid w:val="0067375B"/>
    <w:rsid w:val="00673C00"/>
    <w:rsid w:val="006745B9"/>
    <w:rsid w:val="006820DD"/>
    <w:rsid w:val="00683165"/>
    <w:rsid w:val="00685433"/>
    <w:rsid w:val="006A20B1"/>
    <w:rsid w:val="006A3BE7"/>
    <w:rsid w:val="006A7D96"/>
    <w:rsid w:val="006B6B5D"/>
    <w:rsid w:val="006C0C13"/>
    <w:rsid w:val="006C45DB"/>
    <w:rsid w:val="006D1D22"/>
    <w:rsid w:val="006D281A"/>
    <w:rsid w:val="006E1287"/>
    <w:rsid w:val="006F10CD"/>
    <w:rsid w:val="006F5510"/>
    <w:rsid w:val="006F6B5F"/>
    <w:rsid w:val="0070059F"/>
    <w:rsid w:val="00713A4E"/>
    <w:rsid w:val="007159BC"/>
    <w:rsid w:val="00720CCA"/>
    <w:rsid w:val="007216B9"/>
    <w:rsid w:val="00722E03"/>
    <w:rsid w:val="00723810"/>
    <w:rsid w:val="0072752F"/>
    <w:rsid w:val="00730CA6"/>
    <w:rsid w:val="00732059"/>
    <w:rsid w:val="00732C03"/>
    <w:rsid w:val="00733D8D"/>
    <w:rsid w:val="007350BE"/>
    <w:rsid w:val="007353E7"/>
    <w:rsid w:val="0074083E"/>
    <w:rsid w:val="00740C6E"/>
    <w:rsid w:val="00743463"/>
    <w:rsid w:val="00747784"/>
    <w:rsid w:val="007503E3"/>
    <w:rsid w:val="00750DE9"/>
    <w:rsid w:val="00752975"/>
    <w:rsid w:val="00755430"/>
    <w:rsid w:val="00762CBC"/>
    <w:rsid w:val="00774120"/>
    <w:rsid w:val="00776054"/>
    <w:rsid w:val="0078222A"/>
    <w:rsid w:val="007906A4"/>
    <w:rsid w:val="007956DA"/>
    <w:rsid w:val="00795CBD"/>
    <w:rsid w:val="007A212E"/>
    <w:rsid w:val="007A48A3"/>
    <w:rsid w:val="007B1880"/>
    <w:rsid w:val="007B4B1F"/>
    <w:rsid w:val="007B795B"/>
    <w:rsid w:val="007C1251"/>
    <w:rsid w:val="007C14A0"/>
    <w:rsid w:val="007C1ECC"/>
    <w:rsid w:val="007C204E"/>
    <w:rsid w:val="007C2E57"/>
    <w:rsid w:val="007C400E"/>
    <w:rsid w:val="007D02F8"/>
    <w:rsid w:val="007D0E0F"/>
    <w:rsid w:val="007D18C5"/>
    <w:rsid w:val="007D42BC"/>
    <w:rsid w:val="007D5E73"/>
    <w:rsid w:val="007D7060"/>
    <w:rsid w:val="007E30F8"/>
    <w:rsid w:val="007E39B3"/>
    <w:rsid w:val="007E6EB3"/>
    <w:rsid w:val="007F2EDE"/>
    <w:rsid w:val="007F3AFE"/>
    <w:rsid w:val="007F4815"/>
    <w:rsid w:val="007F5893"/>
    <w:rsid w:val="007F5B94"/>
    <w:rsid w:val="007F77AF"/>
    <w:rsid w:val="0080089F"/>
    <w:rsid w:val="008015F3"/>
    <w:rsid w:val="00806409"/>
    <w:rsid w:val="00807D35"/>
    <w:rsid w:val="00813800"/>
    <w:rsid w:val="008161E2"/>
    <w:rsid w:val="00817CDC"/>
    <w:rsid w:val="0082019A"/>
    <w:rsid w:val="00823236"/>
    <w:rsid w:val="00824343"/>
    <w:rsid w:val="00830158"/>
    <w:rsid w:val="008360B8"/>
    <w:rsid w:val="0084692C"/>
    <w:rsid w:val="00855BB9"/>
    <w:rsid w:val="00857EA1"/>
    <w:rsid w:val="00861A2D"/>
    <w:rsid w:val="00862AB0"/>
    <w:rsid w:val="008636CA"/>
    <w:rsid w:val="008704C7"/>
    <w:rsid w:val="00873C73"/>
    <w:rsid w:val="008765B4"/>
    <w:rsid w:val="00877C95"/>
    <w:rsid w:val="00882461"/>
    <w:rsid w:val="00895F51"/>
    <w:rsid w:val="00897398"/>
    <w:rsid w:val="008A47EC"/>
    <w:rsid w:val="008B2B00"/>
    <w:rsid w:val="008B35E2"/>
    <w:rsid w:val="008B5026"/>
    <w:rsid w:val="008B6BB1"/>
    <w:rsid w:val="008B70EE"/>
    <w:rsid w:val="008C285A"/>
    <w:rsid w:val="008C2C91"/>
    <w:rsid w:val="008C4828"/>
    <w:rsid w:val="008D13E1"/>
    <w:rsid w:val="008D25AE"/>
    <w:rsid w:val="008D7DBA"/>
    <w:rsid w:val="008E48FC"/>
    <w:rsid w:val="008E709D"/>
    <w:rsid w:val="008F114D"/>
    <w:rsid w:val="008F5B9D"/>
    <w:rsid w:val="00900AFE"/>
    <w:rsid w:val="009041E6"/>
    <w:rsid w:val="009148EA"/>
    <w:rsid w:val="00916A64"/>
    <w:rsid w:val="0092055D"/>
    <w:rsid w:val="00920C9F"/>
    <w:rsid w:val="009234AB"/>
    <w:rsid w:val="00923A42"/>
    <w:rsid w:val="00923E53"/>
    <w:rsid w:val="009249B6"/>
    <w:rsid w:val="00924ABC"/>
    <w:rsid w:val="0092573F"/>
    <w:rsid w:val="00935CEC"/>
    <w:rsid w:val="0094235B"/>
    <w:rsid w:val="0094561E"/>
    <w:rsid w:val="009464BA"/>
    <w:rsid w:val="009518DE"/>
    <w:rsid w:val="00952226"/>
    <w:rsid w:val="00957B35"/>
    <w:rsid w:val="00962E0F"/>
    <w:rsid w:val="0096547B"/>
    <w:rsid w:val="00965DEE"/>
    <w:rsid w:val="009723ED"/>
    <w:rsid w:val="0098755E"/>
    <w:rsid w:val="00991819"/>
    <w:rsid w:val="00992558"/>
    <w:rsid w:val="009935E6"/>
    <w:rsid w:val="00993B68"/>
    <w:rsid w:val="0099571D"/>
    <w:rsid w:val="009A548A"/>
    <w:rsid w:val="009A6113"/>
    <w:rsid w:val="009A6520"/>
    <w:rsid w:val="009B059F"/>
    <w:rsid w:val="009B1F22"/>
    <w:rsid w:val="009B2A0A"/>
    <w:rsid w:val="009B3E92"/>
    <w:rsid w:val="009B76E6"/>
    <w:rsid w:val="009C41F8"/>
    <w:rsid w:val="009D0910"/>
    <w:rsid w:val="009D21BD"/>
    <w:rsid w:val="009D4CB9"/>
    <w:rsid w:val="009E4451"/>
    <w:rsid w:val="009E7A13"/>
    <w:rsid w:val="009F1C6E"/>
    <w:rsid w:val="009F5880"/>
    <w:rsid w:val="00A0299C"/>
    <w:rsid w:val="00A04073"/>
    <w:rsid w:val="00A064BF"/>
    <w:rsid w:val="00A108EB"/>
    <w:rsid w:val="00A11EE7"/>
    <w:rsid w:val="00A22C53"/>
    <w:rsid w:val="00A2466C"/>
    <w:rsid w:val="00A2525D"/>
    <w:rsid w:val="00A32ECA"/>
    <w:rsid w:val="00A34C17"/>
    <w:rsid w:val="00A405DA"/>
    <w:rsid w:val="00A40D99"/>
    <w:rsid w:val="00A41CAB"/>
    <w:rsid w:val="00A41D88"/>
    <w:rsid w:val="00A443C2"/>
    <w:rsid w:val="00A51B28"/>
    <w:rsid w:val="00A5608F"/>
    <w:rsid w:val="00A564F5"/>
    <w:rsid w:val="00A60789"/>
    <w:rsid w:val="00A663EA"/>
    <w:rsid w:val="00A70BE2"/>
    <w:rsid w:val="00A74D10"/>
    <w:rsid w:val="00A77584"/>
    <w:rsid w:val="00A85933"/>
    <w:rsid w:val="00A9686D"/>
    <w:rsid w:val="00A9717E"/>
    <w:rsid w:val="00AA50F4"/>
    <w:rsid w:val="00AA7CD2"/>
    <w:rsid w:val="00AB0EDB"/>
    <w:rsid w:val="00AB1059"/>
    <w:rsid w:val="00AB2466"/>
    <w:rsid w:val="00AB3370"/>
    <w:rsid w:val="00AB5F3E"/>
    <w:rsid w:val="00AB699C"/>
    <w:rsid w:val="00AB76BC"/>
    <w:rsid w:val="00AB77D8"/>
    <w:rsid w:val="00AB7B80"/>
    <w:rsid w:val="00AC00FB"/>
    <w:rsid w:val="00AC751D"/>
    <w:rsid w:val="00AC7838"/>
    <w:rsid w:val="00AC7EBC"/>
    <w:rsid w:val="00AD04B0"/>
    <w:rsid w:val="00AE204F"/>
    <w:rsid w:val="00AE442D"/>
    <w:rsid w:val="00AE5CFE"/>
    <w:rsid w:val="00AE75C1"/>
    <w:rsid w:val="00AF7B67"/>
    <w:rsid w:val="00B0086E"/>
    <w:rsid w:val="00B01414"/>
    <w:rsid w:val="00B05761"/>
    <w:rsid w:val="00B07357"/>
    <w:rsid w:val="00B16829"/>
    <w:rsid w:val="00B22AB9"/>
    <w:rsid w:val="00B23988"/>
    <w:rsid w:val="00B23FBC"/>
    <w:rsid w:val="00B273DC"/>
    <w:rsid w:val="00B34201"/>
    <w:rsid w:val="00B34B75"/>
    <w:rsid w:val="00B3748D"/>
    <w:rsid w:val="00B3768A"/>
    <w:rsid w:val="00B378CE"/>
    <w:rsid w:val="00B43A4F"/>
    <w:rsid w:val="00B44870"/>
    <w:rsid w:val="00B52447"/>
    <w:rsid w:val="00B618AA"/>
    <w:rsid w:val="00B65AFF"/>
    <w:rsid w:val="00B67842"/>
    <w:rsid w:val="00B77DB4"/>
    <w:rsid w:val="00B77E77"/>
    <w:rsid w:val="00B828DB"/>
    <w:rsid w:val="00B82C24"/>
    <w:rsid w:val="00B82DCD"/>
    <w:rsid w:val="00B83367"/>
    <w:rsid w:val="00B86D0B"/>
    <w:rsid w:val="00B870C7"/>
    <w:rsid w:val="00B91BF3"/>
    <w:rsid w:val="00B92EE3"/>
    <w:rsid w:val="00BA59C1"/>
    <w:rsid w:val="00BB12F8"/>
    <w:rsid w:val="00BB3F97"/>
    <w:rsid w:val="00BC243B"/>
    <w:rsid w:val="00BC35F9"/>
    <w:rsid w:val="00BD1327"/>
    <w:rsid w:val="00BD1B7D"/>
    <w:rsid w:val="00BD1EBD"/>
    <w:rsid w:val="00BD7907"/>
    <w:rsid w:val="00BE017A"/>
    <w:rsid w:val="00BE05CD"/>
    <w:rsid w:val="00BE1EBA"/>
    <w:rsid w:val="00BE628C"/>
    <w:rsid w:val="00BE62A6"/>
    <w:rsid w:val="00BE6340"/>
    <w:rsid w:val="00BF7358"/>
    <w:rsid w:val="00C22F1B"/>
    <w:rsid w:val="00C24CD8"/>
    <w:rsid w:val="00C25753"/>
    <w:rsid w:val="00C31CF7"/>
    <w:rsid w:val="00C32590"/>
    <w:rsid w:val="00C424DE"/>
    <w:rsid w:val="00C4424F"/>
    <w:rsid w:val="00C46B74"/>
    <w:rsid w:val="00C506A6"/>
    <w:rsid w:val="00C51DF9"/>
    <w:rsid w:val="00C53D3F"/>
    <w:rsid w:val="00C53F0D"/>
    <w:rsid w:val="00C5417D"/>
    <w:rsid w:val="00C55DAC"/>
    <w:rsid w:val="00C56F94"/>
    <w:rsid w:val="00C60581"/>
    <w:rsid w:val="00C6254C"/>
    <w:rsid w:val="00C6373E"/>
    <w:rsid w:val="00C67183"/>
    <w:rsid w:val="00C706C6"/>
    <w:rsid w:val="00C71B2B"/>
    <w:rsid w:val="00C73A31"/>
    <w:rsid w:val="00C73A90"/>
    <w:rsid w:val="00C7512B"/>
    <w:rsid w:val="00C76A08"/>
    <w:rsid w:val="00C82234"/>
    <w:rsid w:val="00C8455B"/>
    <w:rsid w:val="00C93776"/>
    <w:rsid w:val="00C94462"/>
    <w:rsid w:val="00CA3DD3"/>
    <w:rsid w:val="00CB0A54"/>
    <w:rsid w:val="00CB36DB"/>
    <w:rsid w:val="00CC7C9E"/>
    <w:rsid w:val="00CC7DA5"/>
    <w:rsid w:val="00CD048D"/>
    <w:rsid w:val="00CE2B5E"/>
    <w:rsid w:val="00CE6E2C"/>
    <w:rsid w:val="00CF000E"/>
    <w:rsid w:val="00CF048E"/>
    <w:rsid w:val="00CF5E87"/>
    <w:rsid w:val="00CF655A"/>
    <w:rsid w:val="00D01C96"/>
    <w:rsid w:val="00D058F6"/>
    <w:rsid w:val="00D065E1"/>
    <w:rsid w:val="00D119BC"/>
    <w:rsid w:val="00D15D8D"/>
    <w:rsid w:val="00D20475"/>
    <w:rsid w:val="00D20F72"/>
    <w:rsid w:val="00D22CDF"/>
    <w:rsid w:val="00D31C70"/>
    <w:rsid w:val="00D320B5"/>
    <w:rsid w:val="00D341C9"/>
    <w:rsid w:val="00D34D70"/>
    <w:rsid w:val="00D36040"/>
    <w:rsid w:val="00D40454"/>
    <w:rsid w:val="00D43BFB"/>
    <w:rsid w:val="00D45895"/>
    <w:rsid w:val="00D479BA"/>
    <w:rsid w:val="00D53BA3"/>
    <w:rsid w:val="00D559E7"/>
    <w:rsid w:val="00D56055"/>
    <w:rsid w:val="00D72708"/>
    <w:rsid w:val="00D7480B"/>
    <w:rsid w:val="00D80CFA"/>
    <w:rsid w:val="00D81D6F"/>
    <w:rsid w:val="00D8307A"/>
    <w:rsid w:val="00D85726"/>
    <w:rsid w:val="00D85A75"/>
    <w:rsid w:val="00D86331"/>
    <w:rsid w:val="00D909D3"/>
    <w:rsid w:val="00D93E09"/>
    <w:rsid w:val="00D9545B"/>
    <w:rsid w:val="00D967FD"/>
    <w:rsid w:val="00DA34BC"/>
    <w:rsid w:val="00DA3D70"/>
    <w:rsid w:val="00DA4286"/>
    <w:rsid w:val="00DA4A04"/>
    <w:rsid w:val="00DA508E"/>
    <w:rsid w:val="00DA5170"/>
    <w:rsid w:val="00DB79F7"/>
    <w:rsid w:val="00DC05B5"/>
    <w:rsid w:val="00DC12A7"/>
    <w:rsid w:val="00DC6B1F"/>
    <w:rsid w:val="00DC7100"/>
    <w:rsid w:val="00DD2961"/>
    <w:rsid w:val="00DD4B3E"/>
    <w:rsid w:val="00DD77A2"/>
    <w:rsid w:val="00DD7BD0"/>
    <w:rsid w:val="00DE260E"/>
    <w:rsid w:val="00DE44B0"/>
    <w:rsid w:val="00DE678E"/>
    <w:rsid w:val="00DF109E"/>
    <w:rsid w:val="00E103BB"/>
    <w:rsid w:val="00E10A07"/>
    <w:rsid w:val="00E1712D"/>
    <w:rsid w:val="00E2699A"/>
    <w:rsid w:val="00E43A48"/>
    <w:rsid w:val="00E446DA"/>
    <w:rsid w:val="00E44974"/>
    <w:rsid w:val="00E46AF2"/>
    <w:rsid w:val="00E46CD7"/>
    <w:rsid w:val="00E47348"/>
    <w:rsid w:val="00E5018B"/>
    <w:rsid w:val="00E52E7A"/>
    <w:rsid w:val="00E53238"/>
    <w:rsid w:val="00E54298"/>
    <w:rsid w:val="00E56CEF"/>
    <w:rsid w:val="00E56D10"/>
    <w:rsid w:val="00E57E7C"/>
    <w:rsid w:val="00E603D5"/>
    <w:rsid w:val="00E6069E"/>
    <w:rsid w:val="00E63805"/>
    <w:rsid w:val="00E64157"/>
    <w:rsid w:val="00E65B3C"/>
    <w:rsid w:val="00E661EF"/>
    <w:rsid w:val="00E7112A"/>
    <w:rsid w:val="00E85FAB"/>
    <w:rsid w:val="00E91BDD"/>
    <w:rsid w:val="00E9345F"/>
    <w:rsid w:val="00E9348E"/>
    <w:rsid w:val="00EA0DCA"/>
    <w:rsid w:val="00EA16E2"/>
    <w:rsid w:val="00EA5128"/>
    <w:rsid w:val="00EA52B8"/>
    <w:rsid w:val="00EB6986"/>
    <w:rsid w:val="00EB6CCB"/>
    <w:rsid w:val="00EB7722"/>
    <w:rsid w:val="00EC544A"/>
    <w:rsid w:val="00EC6FB7"/>
    <w:rsid w:val="00ED0B00"/>
    <w:rsid w:val="00ED1A1F"/>
    <w:rsid w:val="00ED3E6E"/>
    <w:rsid w:val="00ED7354"/>
    <w:rsid w:val="00ED7DF7"/>
    <w:rsid w:val="00EE02FE"/>
    <w:rsid w:val="00EE0BD0"/>
    <w:rsid w:val="00EE2109"/>
    <w:rsid w:val="00EE2D5F"/>
    <w:rsid w:val="00EE52CB"/>
    <w:rsid w:val="00EE6401"/>
    <w:rsid w:val="00EE6B7B"/>
    <w:rsid w:val="00EE6C22"/>
    <w:rsid w:val="00EF4E5B"/>
    <w:rsid w:val="00EF61F1"/>
    <w:rsid w:val="00F01D30"/>
    <w:rsid w:val="00F02902"/>
    <w:rsid w:val="00F07F56"/>
    <w:rsid w:val="00F16E16"/>
    <w:rsid w:val="00F21424"/>
    <w:rsid w:val="00F21E14"/>
    <w:rsid w:val="00F26835"/>
    <w:rsid w:val="00F276C5"/>
    <w:rsid w:val="00F30102"/>
    <w:rsid w:val="00F327DB"/>
    <w:rsid w:val="00F32945"/>
    <w:rsid w:val="00F45E66"/>
    <w:rsid w:val="00F470E2"/>
    <w:rsid w:val="00F50593"/>
    <w:rsid w:val="00F73161"/>
    <w:rsid w:val="00F75898"/>
    <w:rsid w:val="00F75A2D"/>
    <w:rsid w:val="00F762B3"/>
    <w:rsid w:val="00F7658C"/>
    <w:rsid w:val="00F91821"/>
    <w:rsid w:val="00F9185F"/>
    <w:rsid w:val="00F91FBA"/>
    <w:rsid w:val="00F92ABA"/>
    <w:rsid w:val="00F92B0E"/>
    <w:rsid w:val="00F9426E"/>
    <w:rsid w:val="00F96144"/>
    <w:rsid w:val="00FA6E01"/>
    <w:rsid w:val="00FB3C8D"/>
    <w:rsid w:val="00FB46FE"/>
    <w:rsid w:val="00FC05C7"/>
    <w:rsid w:val="00FC646E"/>
    <w:rsid w:val="00FC6B42"/>
    <w:rsid w:val="00FD48F8"/>
    <w:rsid w:val="00FD59C3"/>
    <w:rsid w:val="00FE0D67"/>
    <w:rsid w:val="00FE1013"/>
    <w:rsid w:val="00FE4304"/>
    <w:rsid w:val="00FE6DAB"/>
    <w:rsid w:val="00FE7998"/>
    <w:rsid w:val="00FE7CED"/>
    <w:rsid w:val="00FF0520"/>
    <w:rsid w:val="00FF656D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23F74F"/>
  <w15:docId w15:val="{6B236D09-64F7-4D1E-96EF-F1AD04D2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t-MT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BF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FE0"/>
    <w:pPr>
      <w:keepNext/>
      <w:numPr>
        <w:numId w:val="1"/>
      </w:numPr>
      <w:spacing w:after="240"/>
      <w:jc w:val="left"/>
      <w:outlineLvl w:val="0"/>
    </w:pPr>
    <w:rPr>
      <w:rFonts w:eastAsia="Adobe Gothic Std B"/>
      <w:b/>
      <w:bCs/>
      <w:color w:val="005DA4"/>
      <w:kern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04F"/>
    <w:pPr>
      <w:spacing w:after="240"/>
      <w:jc w:val="left"/>
      <w:outlineLvl w:val="1"/>
    </w:pPr>
    <w:rPr>
      <w:b/>
      <w:color w:val="005DA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C56"/>
    <w:pPr>
      <w:keepNext/>
      <w:spacing w:after="240"/>
      <w:ind w:left="426" w:hanging="66"/>
      <w:outlineLvl w:val="2"/>
    </w:pPr>
    <w:rPr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06BE"/>
    <w:pPr>
      <w:keepNext/>
      <w:spacing w:before="240" w:after="60"/>
      <w:outlineLvl w:val="3"/>
    </w:pPr>
    <w:rPr>
      <w:b/>
      <w:bCs/>
      <w:color w:val="005DA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1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91B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91B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91B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91BF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5FE0"/>
    <w:rPr>
      <w:rFonts w:ascii="Times New Roman" w:eastAsia="Adobe Gothic Std B" w:hAnsi="Times New Roman"/>
      <w:b/>
      <w:bCs/>
      <w:color w:val="005DA4"/>
      <w:kern w:val="32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AE204F"/>
    <w:rPr>
      <w:rFonts w:ascii="Times New Roman" w:hAnsi="Times New Roman"/>
      <w:b/>
      <w:color w:val="005DA4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544C56"/>
    <w:rPr>
      <w:rFonts w:ascii="Times New Roman" w:hAnsi="Times New Roman"/>
      <w:bCs/>
      <w:sz w:val="24"/>
      <w:szCs w:val="24"/>
      <w:u w:val="single"/>
      <w:lang w:eastAsia="en-US"/>
    </w:rPr>
  </w:style>
  <w:style w:type="character" w:customStyle="1" w:styleId="Heading4Char">
    <w:name w:val="Heading 4 Char"/>
    <w:link w:val="Heading4"/>
    <w:uiPriority w:val="9"/>
    <w:rsid w:val="002606BE"/>
    <w:rPr>
      <w:rFonts w:ascii="Times New Roman" w:hAnsi="Times New Roman"/>
      <w:b/>
      <w:bCs/>
      <w:color w:val="005DA4"/>
      <w:sz w:val="24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B91BF3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91BF3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91BF3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91BF3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91BF3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2421B8"/>
    <w:pPr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421B8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1B8"/>
    <w:pPr>
      <w:spacing w:after="60"/>
      <w:jc w:val="center"/>
    </w:pPr>
    <w:rPr>
      <w:rFonts w:ascii="Arial" w:eastAsia="Times New Roman" w:hAnsi="Arial" w:cs="Arial"/>
    </w:rPr>
  </w:style>
  <w:style w:type="character" w:customStyle="1" w:styleId="SubtitleChar">
    <w:name w:val="Subtitle Char"/>
    <w:link w:val="Subtitle"/>
    <w:uiPriority w:val="11"/>
    <w:rsid w:val="002421B8"/>
    <w:rPr>
      <w:rFonts w:ascii="Arial" w:eastAsia="Times New Roman" w:hAnsi="Arial" w:cs="Arial"/>
      <w:sz w:val="24"/>
      <w:szCs w:val="24"/>
      <w:lang w:eastAsia="en-US"/>
    </w:rPr>
  </w:style>
  <w:style w:type="character" w:styleId="Strong">
    <w:name w:val="Strong"/>
    <w:uiPriority w:val="22"/>
    <w:qFormat/>
    <w:rsid w:val="00B91BF3"/>
    <w:rPr>
      <w:b/>
      <w:bCs/>
    </w:rPr>
  </w:style>
  <w:style w:type="character" w:styleId="Emphasis">
    <w:name w:val="Emphasis"/>
    <w:uiPriority w:val="20"/>
    <w:qFormat/>
    <w:rsid w:val="00B91BF3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B91BF3"/>
    <w:rPr>
      <w:szCs w:val="32"/>
    </w:rPr>
  </w:style>
  <w:style w:type="paragraph" w:styleId="ListParagraph">
    <w:name w:val="List Paragraph"/>
    <w:basedOn w:val="Normal"/>
    <w:uiPriority w:val="34"/>
    <w:qFormat/>
    <w:rsid w:val="00B91B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1BF3"/>
    <w:rPr>
      <w:i/>
    </w:rPr>
  </w:style>
  <w:style w:type="character" w:customStyle="1" w:styleId="QuoteChar">
    <w:name w:val="Quote Char"/>
    <w:link w:val="Quote"/>
    <w:uiPriority w:val="29"/>
    <w:rsid w:val="00B91B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1B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91BF3"/>
    <w:rPr>
      <w:b/>
      <w:i/>
      <w:sz w:val="24"/>
    </w:rPr>
  </w:style>
  <w:style w:type="character" w:styleId="SubtleEmphasis">
    <w:name w:val="Subtle Emphasis"/>
    <w:uiPriority w:val="19"/>
    <w:qFormat/>
    <w:rsid w:val="00B91BF3"/>
    <w:rPr>
      <w:i/>
      <w:color w:val="5A5A5A"/>
    </w:rPr>
  </w:style>
  <w:style w:type="character" w:styleId="IntenseEmphasis">
    <w:name w:val="Intense Emphasis"/>
    <w:uiPriority w:val="21"/>
    <w:qFormat/>
    <w:rsid w:val="00B91BF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91BF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91BF3"/>
    <w:rPr>
      <w:b/>
      <w:sz w:val="24"/>
      <w:u w:val="single"/>
    </w:rPr>
  </w:style>
  <w:style w:type="character" w:styleId="BookTitle">
    <w:name w:val="Book Title"/>
    <w:uiPriority w:val="33"/>
    <w:qFormat/>
    <w:rsid w:val="00B91BF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91BF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F33CF"/>
    <w:pPr>
      <w:tabs>
        <w:tab w:val="left" w:pos="440"/>
        <w:tab w:val="right" w:leader="dot" w:pos="9016"/>
      </w:tabs>
      <w:spacing w:before="120" w:after="120"/>
    </w:pPr>
    <w:rPr>
      <w:b/>
      <w:sz w:val="20"/>
    </w:rPr>
  </w:style>
  <w:style w:type="character" w:styleId="Hyperlink">
    <w:name w:val="Hyperlink"/>
    <w:uiPriority w:val="99"/>
    <w:unhideWhenUsed/>
    <w:rsid w:val="00EE2109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E4ABE"/>
    <w:pPr>
      <w:tabs>
        <w:tab w:val="left" w:pos="709"/>
        <w:tab w:val="right" w:leader="dot" w:pos="9016"/>
      </w:tabs>
      <w:spacing w:before="60" w:after="60"/>
      <w:ind w:left="238"/>
    </w:pPr>
    <w:rPr>
      <w:caps/>
      <w:sz w:val="20"/>
    </w:rPr>
  </w:style>
  <w:style w:type="paragraph" w:styleId="Header">
    <w:name w:val="header"/>
    <w:basedOn w:val="Normal"/>
    <w:link w:val="HeaderChar"/>
    <w:uiPriority w:val="99"/>
    <w:unhideWhenUsed/>
    <w:rsid w:val="00EE21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2109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21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2109"/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2109"/>
    <w:rPr>
      <w:rFonts w:ascii="Tahoma" w:hAnsi="Tahoma" w:cs="Tahoma"/>
      <w:sz w:val="16"/>
      <w:szCs w:val="16"/>
      <w:lang w:eastAsia="en-US"/>
    </w:rPr>
  </w:style>
  <w:style w:type="character" w:customStyle="1" w:styleId="NoSpacingChar">
    <w:name w:val="No Spacing Char"/>
    <w:link w:val="NoSpacing"/>
    <w:uiPriority w:val="1"/>
    <w:rsid w:val="0012671F"/>
    <w:rPr>
      <w:rFonts w:ascii="Times New Roman" w:hAnsi="Times New Roman"/>
      <w:sz w:val="24"/>
      <w:szCs w:val="3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E4ABE"/>
    <w:pPr>
      <w:tabs>
        <w:tab w:val="right" w:leader="dot" w:pos="9016"/>
      </w:tabs>
      <w:ind w:left="1276"/>
      <w:jc w:val="left"/>
    </w:pPr>
    <w:rPr>
      <w:rFonts w:eastAsia="MS Mincho" w:cs="Arial"/>
      <w:i/>
      <w:sz w:val="20"/>
      <w:szCs w:val="22"/>
      <w:lang w:eastAsia="ja-JP"/>
    </w:rPr>
  </w:style>
  <w:style w:type="character" w:customStyle="1" w:styleId="ColorfulGrid-Accent1Char">
    <w:name w:val="Colorful Grid - Accent 1 Char"/>
    <w:link w:val="ColorfulGrid-Accent1"/>
    <w:uiPriority w:val="29"/>
    <w:rsid w:val="0035115D"/>
    <w:rPr>
      <w:i/>
      <w:sz w:val="24"/>
      <w:szCs w:val="24"/>
    </w:rPr>
  </w:style>
  <w:style w:type="character" w:customStyle="1" w:styleId="LightShading-Accent2Char">
    <w:name w:val="Light Shading - Accent 2 Char"/>
    <w:link w:val="LightShading-Accent2"/>
    <w:uiPriority w:val="30"/>
    <w:rsid w:val="0035115D"/>
    <w:rPr>
      <w:b/>
      <w:i/>
      <w:sz w:val="24"/>
    </w:rPr>
  </w:style>
  <w:style w:type="character" w:customStyle="1" w:styleId="Accentuationdiscrte">
    <w:name w:val="Accentuation discrète"/>
    <w:uiPriority w:val="19"/>
    <w:qFormat/>
    <w:rsid w:val="0035115D"/>
    <w:rPr>
      <w:i/>
      <w:color w:val="5A5A5A"/>
    </w:rPr>
  </w:style>
  <w:style w:type="character" w:customStyle="1" w:styleId="Forteaccentuation">
    <w:name w:val="Forte accentuation"/>
    <w:uiPriority w:val="21"/>
    <w:qFormat/>
    <w:rsid w:val="0035115D"/>
    <w:rPr>
      <w:b/>
      <w:i/>
      <w:sz w:val="24"/>
      <w:szCs w:val="24"/>
      <w:u w:val="single"/>
    </w:rPr>
  </w:style>
  <w:style w:type="character" w:customStyle="1" w:styleId="Rfrenceple">
    <w:name w:val="Référence pâle"/>
    <w:uiPriority w:val="31"/>
    <w:qFormat/>
    <w:rsid w:val="0035115D"/>
    <w:rPr>
      <w:sz w:val="24"/>
      <w:szCs w:val="24"/>
      <w:u w:val="single"/>
    </w:rPr>
  </w:style>
  <w:style w:type="character" w:customStyle="1" w:styleId="Rfrenceintense">
    <w:name w:val="Référence intense"/>
    <w:uiPriority w:val="32"/>
    <w:qFormat/>
    <w:rsid w:val="0035115D"/>
    <w:rPr>
      <w:b/>
      <w:sz w:val="24"/>
      <w:u w:val="single"/>
    </w:rPr>
  </w:style>
  <w:style w:type="character" w:customStyle="1" w:styleId="Titredulivre">
    <w:name w:val="Titre du livre"/>
    <w:uiPriority w:val="33"/>
    <w:qFormat/>
    <w:rsid w:val="0035115D"/>
    <w:rPr>
      <w:rFonts w:ascii="Cambria" w:eastAsia="Times New Roman" w:hAnsi="Cambria"/>
      <w:b/>
      <w:i/>
      <w:sz w:val="24"/>
      <w:szCs w:val="24"/>
    </w:rPr>
  </w:style>
  <w:style w:type="paragraph" w:customStyle="1" w:styleId="En-ttedetabledesmatires">
    <w:name w:val="En-tête de table des matières"/>
    <w:basedOn w:val="Heading1"/>
    <w:next w:val="Normal"/>
    <w:uiPriority w:val="39"/>
    <w:semiHidden/>
    <w:unhideWhenUsed/>
    <w:qFormat/>
    <w:rsid w:val="0035115D"/>
    <w:pPr>
      <w:jc w:val="both"/>
      <w:outlineLvl w:val="9"/>
    </w:pPr>
    <w:rPr>
      <w:rFonts w:ascii="Arial" w:eastAsia="Times New Roman" w:hAnsi="Arial"/>
      <w:color w:val="auto"/>
      <w:sz w:val="32"/>
      <w:szCs w:val="32"/>
    </w:rPr>
  </w:style>
  <w:style w:type="character" w:styleId="FootnoteReference">
    <w:name w:val="footnote reference"/>
    <w:aliases w:val="BVI fnr,Footnote Reference Superscript,SUPERS,Footnote symbol,(Footnote Reference),Footnote reference number,note TESI,EN Footnote Reference,Voetnootverwijzing,Times 10 Point,Exposant 3 Point,Appel note de bas de,FR,C"/>
    <w:uiPriority w:val="99"/>
    <w:unhideWhenUsed/>
    <w:qFormat/>
    <w:rsid w:val="0035115D"/>
    <w:rPr>
      <w:vertAlign w:val="superscript"/>
    </w:rPr>
  </w:style>
  <w:style w:type="paragraph" w:customStyle="1" w:styleId="Default">
    <w:name w:val="Default"/>
    <w:rsid w:val="003511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aliases w:val="fn,footnote text,Fußnotentext Char Char Char Char,Fußnotentext Char Char Char,Footnotetext,Footnotetext1,ftx,Footnotetext2,ftx1,Footnotetext3,ftx2,Footnotetext4,ftx3,Footnotetext5,ftx4,Footnotetext6,Footnotetext7,Footnotetext8"/>
    <w:basedOn w:val="Normal"/>
    <w:link w:val="FootnoteTextChar"/>
    <w:uiPriority w:val="99"/>
    <w:unhideWhenUsed/>
    <w:rsid w:val="0035115D"/>
    <w:rPr>
      <w:sz w:val="20"/>
      <w:szCs w:val="20"/>
    </w:rPr>
  </w:style>
  <w:style w:type="character" w:customStyle="1" w:styleId="FootnoteTextChar">
    <w:name w:val="Footnote Text Char"/>
    <w:aliases w:val="fn Char,footnote text Char,Fußnotentext Char Char Char Char Char,Fußnotentext Char Char Char Char1,Footnotetext Char,Footnotetext1 Char,ftx Char,Footnotetext2 Char,ftx1 Char,Footnotetext3 Char,ftx2 Char,Footnotetext4 Char,ftx3 Char"/>
    <w:link w:val="FootnoteText"/>
    <w:uiPriority w:val="99"/>
    <w:rsid w:val="0035115D"/>
    <w:rPr>
      <w:rFonts w:ascii="Times New Roman" w:hAnsi="Times New Roman"/>
      <w:lang w:val="mt-MT" w:eastAsia="en-US"/>
    </w:rPr>
  </w:style>
  <w:style w:type="character" w:styleId="CommentReference">
    <w:name w:val="annotation reference"/>
    <w:uiPriority w:val="99"/>
    <w:semiHidden/>
    <w:unhideWhenUsed/>
    <w:rsid w:val="00351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11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5115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1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115D"/>
    <w:rPr>
      <w:rFonts w:ascii="Times New Roman" w:hAnsi="Times New Roman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35115D"/>
    <w:rPr>
      <w:color w:val="800080"/>
      <w:u w:val="single"/>
    </w:rPr>
  </w:style>
  <w:style w:type="table" w:styleId="TableGrid">
    <w:name w:val="Table Grid"/>
    <w:basedOn w:val="TableNormal"/>
    <w:uiPriority w:val="59"/>
    <w:rsid w:val="00351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35115D"/>
    <w:pPr>
      <w:ind w:left="720"/>
      <w:jc w:val="left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5115D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5115D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5115D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5115D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5115D"/>
    <w:pPr>
      <w:ind w:left="1920"/>
      <w:jc w:val="left"/>
    </w:pPr>
    <w:rPr>
      <w:rFonts w:ascii="Calibri" w:hAnsi="Calibri" w:cs="Calibri"/>
      <w:sz w:val="18"/>
      <w:szCs w:val="18"/>
    </w:rPr>
  </w:style>
  <w:style w:type="table" w:styleId="ColorfulGrid-Accent1">
    <w:name w:val="Colorful Grid Accent 1"/>
    <w:basedOn w:val="TableNormal"/>
    <w:link w:val="ColorfulGrid-Accent1Char"/>
    <w:uiPriority w:val="29"/>
    <w:rsid w:val="0035115D"/>
    <w:rPr>
      <w:i/>
      <w:sz w:val="24"/>
      <w:szCs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Shading-Accent2">
    <w:name w:val="Light Shading Accent 2"/>
    <w:basedOn w:val="TableNormal"/>
    <w:link w:val="LightShading-Accent2Char"/>
    <w:uiPriority w:val="30"/>
    <w:rsid w:val="0035115D"/>
    <w:rPr>
      <w:b/>
      <w:i/>
      <w:sz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HEADING">
    <w:name w:val="HEADING"/>
    <w:basedOn w:val="Normal"/>
    <w:link w:val="HEADINGChar"/>
    <w:qFormat/>
    <w:rsid w:val="000F33CF"/>
    <w:rPr>
      <w:b/>
      <w:color w:val="005DA4"/>
    </w:rPr>
  </w:style>
  <w:style w:type="character" w:customStyle="1" w:styleId="MediumShading1-Accent3Char">
    <w:name w:val="Medium Shading 1 - Accent 3 Char"/>
    <w:link w:val="MediumShading1-Accent3"/>
    <w:uiPriority w:val="29"/>
    <w:rsid w:val="00B3748D"/>
    <w:rPr>
      <w:i/>
      <w:sz w:val="24"/>
      <w:szCs w:val="24"/>
    </w:rPr>
  </w:style>
  <w:style w:type="character" w:customStyle="1" w:styleId="HEADINGChar">
    <w:name w:val="HEADING Char"/>
    <w:link w:val="HEADING"/>
    <w:rsid w:val="000F33CF"/>
    <w:rPr>
      <w:rFonts w:ascii="Times New Roman" w:hAnsi="Times New Roman"/>
      <w:b/>
      <w:color w:val="005DA4"/>
      <w:sz w:val="24"/>
      <w:szCs w:val="24"/>
      <w:lang w:eastAsia="en-US"/>
    </w:rPr>
  </w:style>
  <w:style w:type="character" w:customStyle="1" w:styleId="MediumShading2-Accent3Char">
    <w:name w:val="Medium Shading 2 - Accent 3 Char"/>
    <w:link w:val="MediumShading2-Accent3"/>
    <w:uiPriority w:val="30"/>
    <w:rsid w:val="00B3748D"/>
    <w:rPr>
      <w:b/>
      <w:i/>
      <w:sz w:val="24"/>
    </w:rPr>
  </w:style>
  <w:style w:type="table" w:styleId="MediumShading1-Accent3">
    <w:name w:val="Medium Shading 1 Accent 3"/>
    <w:basedOn w:val="TableNormal"/>
    <w:link w:val="MediumShading1-Accent3Char"/>
    <w:uiPriority w:val="29"/>
    <w:rsid w:val="00B3748D"/>
    <w:rPr>
      <w:i/>
      <w:sz w:val="24"/>
      <w:szCs w:val="24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link w:val="MediumShading2-Accent3Char"/>
    <w:uiPriority w:val="30"/>
    <w:rsid w:val="00B3748D"/>
    <w:rPr>
      <w:b/>
      <w:i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5259B6"/>
    <w:pPr>
      <w:jc w:val="left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259B6"/>
    <w:rPr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5259B6"/>
    <w:rPr>
      <w:vertAlign w:val="superscript"/>
    </w:rPr>
  </w:style>
  <w:style w:type="character" w:customStyle="1" w:styleId="apple-converted-space">
    <w:name w:val="apple-converted-space"/>
    <w:basedOn w:val="DefaultParagraphFont"/>
    <w:rsid w:val="008B5026"/>
  </w:style>
  <w:style w:type="character" w:customStyle="1" w:styleId="FootnoteTextChar1">
    <w:name w:val="Footnote Text Char1"/>
    <w:uiPriority w:val="99"/>
    <w:locked/>
    <w:rsid w:val="001D419A"/>
    <w:rPr>
      <w:lang w:val="mt-MT" w:eastAsia="it-IT" w:bidi="ar-SA"/>
    </w:rPr>
  </w:style>
  <w:style w:type="paragraph" w:styleId="NormalWeb">
    <w:name w:val="Normal (Web)"/>
    <w:basedOn w:val="Normal"/>
    <w:uiPriority w:val="99"/>
    <w:semiHidden/>
    <w:unhideWhenUsed/>
    <w:rsid w:val="003901D2"/>
    <w:pPr>
      <w:spacing w:before="100" w:beforeAutospacing="1" w:after="100" w:afterAutospacing="1"/>
      <w:jc w:val="left"/>
    </w:pPr>
    <w:rPr>
      <w:rFonts w:eastAsia="Times New Roman"/>
    </w:rPr>
  </w:style>
  <w:style w:type="paragraph" w:styleId="Revision">
    <w:name w:val="Revision"/>
    <w:hidden/>
    <w:uiPriority w:val="99"/>
    <w:semiHidden/>
    <w:rsid w:val="00613AF6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400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edps.europa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dps.europa.eu/data-protection/our-work/our-work-by-type/opinions_en" TargetMode="External"/><Relationship Id="rId1" Type="http://schemas.openxmlformats.org/officeDocument/2006/relationships/hyperlink" Target="http://europa.eu/globalstrategy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 catsources="">
  <f:record>
    <f:field ref="doc_FSCFOLIO_1_1001_FieldDocumentNumber" par="" text=""/>
    <f:field ref="doc_FSCFOLIO_1_1001_FieldSubject" par="" text="" edit="true"/>
    <f:field ref="FSCFOLIO_1_1001_SignaturesFldCtx_FSCFOLIO_1_1001_FieldLastSignature" par="" text=""/>
    <f:field ref="FSCFOLIO_1_1001_SignaturesFldCtx_FSCFOLIO_1_1001_FieldLastSignatureBy" par="" text=""/>
    <f:field ref="FSCFOLIO_1_1001_SignaturesFldCtx_FSCFOLIO_1_1001_FieldLastSignatureAt" par="" date="" text=""/>
    <f:field ref="FSCFOLIO_1_1001_SignaturesFldCtx_FSCFOLIO_1_1001_FieldLastSignatureRemark" par="" text=""/>
    <f:field ref="FSCFOLIO_1_1001_FieldCurrentUser" par="" text="Amanda Joyce"/>
    <f:field ref="casefile_EDPSOM_103_3700_FieldCaseNumber" par="" text="2019-0432"/>
    <f:field ref="casefile_EDPSOM_103_3700_FieldTitle" par="" text="DG JUST: Consultation on 2 proposals 1. on service of Judicial and extrajudicial documents in civil matters and 2. on cooperation between courts of MS in the taking of evidence in civil matters"/>
    <f:field ref="casefile_EDPSOM_103_3700_FieldClass" par="" text="04.01.06 Consultation on legislative or administrative measures (Art. 57(1)(g))"/>
    <f:field ref="casefile_EDPSOM_103_3700_FieldInitiator" par="" text="ASTOLA Tiina"/>
    <f:field ref="casefile_EDPSOM_103_3700_FieldInterinstitutional" par="" text=""/>
    <f:field ref="EDPSOM_103_3700_FieldSensitivity" par="" text="Normal"/>
    <f:field ref="EDPSOM_103_3700_FieldExternalRef" par="" text="" edit="true"/>
    <f:field ref="EDPSOM_103_3700_FieldDescription" par="" text="" edit="true"/>
    <f:field ref="objname" par="" text="2019_06_21_Summary_Opinion_service_doc_taking_evidence_civil_matters_EN" edit="true"/>
    <f:field ref="objsubject" par="" text="" edit="true"/>
    <f:field ref="objcreatedby" par="" text="Joyce, Amanda"/>
    <f:field ref="objcreatedat" par="" date="2019-09-19T11:56:27" text="Sep 19, 2019 11:56:27 AM"/>
    <f:field ref="objchangedby" par="" text="Joyce, Amanda"/>
    <f:field ref="objmodifiedat" par="" date="2019-11-05T18:08:47" text="Nov 5, 2019 6:08:47 PM"/>
  </f:record>
  <f:display par="" text="Mail Merge">
    <f:field ref="doc_FSCFOLIO_1_1001_FieldDocumentNumber" text="Document Number"/>
    <f:field ref="doc_FSCFOLIO_1_1001_FieldSubject" text="Subject"/>
  </f:display>
  <f:display par="" text="Signatures">
    <f:field ref="FSCFOLIO_1_1001_SignaturesFldCtx_FSCFOLIO_1_1001_FieldLastSignature" text="Last Signature"/>
    <f:field ref="FSCFOLIO_1_1001_SignaturesFldCtx_FSCFOLIO_1_1001_FieldLastSignatureBy" text="Last Signature By"/>
    <f:field ref="FSCFOLIO_1_1001_SignaturesFldCtx_FSCFOLIO_1_1001_FieldLastSignatureAt" text="Last Signature on/at"/>
    <f:field ref="FSCFOLIO_1_1001_SignaturesFldCtx_FSCFOLIO_1_1001_FieldLastSignatureRemark" text="Remark of Last Signature"/>
  </f:display>
  <f:display par="" text="General">
    <f:field ref="FSCFOLIO_1_1001_FieldCurrentUser" text="Current User"/>
    <f:field ref="EDPSOM_103_3700_FieldSensitivity" text="Sensitivity"/>
    <f:field ref="EDPSOM_103_3700_FieldExternalRef" text="Sender's reference"/>
    <f:field ref="EDPSOM_103_3700_FieldDescription" text="Description"/>
    <f:field ref="objname" text="Name"/>
    <f:field ref="objsubject" text="Subject"/>
    <f:field ref="objcreatedby" text="Created by"/>
    <f:field ref="objcreatedat" text="Created on/at"/>
    <f:field ref="objchangedby" text="Last Change by"/>
    <f:field ref="objmodifiedat" text="Last Change on/at"/>
  </f:display>
  <f:display par="" text="Case file">
    <f:field ref="casefile_EDPSOM_103_3700_FieldCaseNumber" text="Case number"/>
    <f:field ref="casefile_EDPSOM_103_3700_FieldTitle" text="Title"/>
    <f:field ref="casefile_EDPSOM_103_3700_FieldClass" text="Class"/>
    <f:field ref="casefile_EDPSOM_103_3700_FieldInitiator" text="Initiator"/>
    <f:field ref="casefile_EDPSOM_103_3700_FieldInterinstitutional" text="Interinstitutional numb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974277F-28BA-48D1-8B04-ABDAFD02B0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EFE3EE-D9D9-4C29-A493-A1BEBF372E5B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12</ap:TotalTime>
  <ap:Pages>1</ap:Pages>
  <ap:Words>1860</ap:Words>
  <ap:Characters>10232</ap:Characters>
  <ap:Application>Microsoft Office Word</ap:Application>
  <ap:DocSecurity>0</ap:DocSecurity>
  <ap:Lines>85</ap:Lines>
  <ap:Paragraphs>24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>CDT</ap:Company>
  <ap:LinksUpToDate>false</ap:LinksUpToDate>
  <ap:CharactersWithSpaces>12068</ap:CharactersWithSpaces>
  <ap:SharedDoc>false</ap:SharedDoc>
  <ap:HLinks>
    <vt:vector baseType="variant" size="222">
      <vt:variant>
        <vt:i4>1245246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_Toc418070558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_Toc418070557</vt:lpwstr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_Toc418070556</vt:lpwstr>
      </vt:variant>
      <vt:variant>
        <vt:i4>1245246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_Toc418070555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_Toc418070554</vt:lpwstr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_Toc418070553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_Toc418070552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_Toc418070551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_Toc418070550</vt:lpwstr>
      </vt:variant>
      <vt:variant>
        <vt:i4>1179710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_Toc418070549</vt:lpwstr>
      </vt:variant>
      <vt:variant>
        <vt:i4>1179710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_Toc418070548</vt:lpwstr>
      </vt:variant>
      <vt:variant>
        <vt:i4>1179710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_Toc418070547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_Toc418070546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_Toc418070545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_Toc418070544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_Toc418070543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_Toc418070542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_Toc418070541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_Toc418070540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_Toc418070539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_Toc418070538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_Toc418070537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_Toc418070536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_Toc418070535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_Toc418070534</vt:lpwstr>
      </vt:variant>
      <vt:variant>
        <vt:i4>2686982</vt:i4>
      </vt:variant>
      <vt:variant>
        <vt:i4>33</vt:i4>
      </vt:variant>
      <vt:variant>
        <vt:i4>0</vt:i4>
      </vt:variant>
      <vt:variant>
        <vt:i4>5</vt:i4>
      </vt:variant>
      <vt:variant>
        <vt:lpwstr>http://idpc.gov.mt/dbfile.aspx/Opinion3_2013.pdf</vt:lpwstr>
      </vt:variant>
      <vt:variant>
        <vt:lpwstr/>
      </vt:variant>
      <vt:variant>
        <vt:i4>524333</vt:i4>
      </vt:variant>
      <vt:variant>
        <vt:i4>30</vt:i4>
      </vt:variant>
      <vt:variant>
        <vt:i4>0</vt:i4>
      </vt:variant>
      <vt:variant>
        <vt:i4>5</vt:i4>
      </vt:variant>
      <vt:variant>
        <vt:lpwstr>http://ec.europa.eu/justice/policies/privacy/docs/wpdocs/2010/wp169_en.pdf</vt:lpwstr>
      </vt:variant>
      <vt:variant>
        <vt:lpwstr/>
      </vt:variant>
      <vt:variant>
        <vt:i4>2359380</vt:i4>
      </vt:variant>
      <vt:variant>
        <vt:i4>27</vt:i4>
      </vt:variant>
      <vt:variant>
        <vt:i4>0</vt:i4>
      </vt:variant>
      <vt:variant>
        <vt:i4>5</vt:i4>
      </vt:variant>
      <vt:variant>
        <vt:lpwstr>http://ec.europa.eu/justice/data-protection/article-29/documentation/opinion-recommendation/index_en.htm</vt:lpwstr>
      </vt:variant>
      <vt:variant>
        <vt:lpwstr/>
      </vt:variant>
      <vt:variant>
        <vt:i4>6</vt:i4>
      </vt:variant>
      <vt:variant>
        <vt:i4>24</vt:i4>
      </vt:variant>
      <vt:variant>
        <vt:i4>0</vt:i4>
      </vt:variant>
      <vt:variant>
        <vt:i4>5</vt:i4>
      </vt:variant>
      <vt:variant>
        <vt:lpwstr>https://secure.edps.europa.eu/EDPSWEB/edps/EDPS/IPEN</vt:lpwstr>
      </vt:variant>
      <vt:variant>
        <vt:lpwstr/>
      </vt:variant>
      <vt:variant>
        <vt:i4>6619210</vt:i4>
      </vt:variant>
      <vt:variant>
        <vt:i4>21</vt:i4>
      </vt:variant>
      <vt:variant>
        <vt:i4>0</vt:i4>
      </vt:variant>
      <vt:variant>
        <vt:i4>5</vt:i4>
      </vt:variant>
      <vt:variant>
        <vt:lpwstr>http://www.enisa.europa.eu/activities/Resilience-and-CIIP/critical-applications/smartphone-security-1/smartphone-secure-development-guidelines/at_download/fullReport</vt:lpwstr>
      </vt:variant>
      <vt:variant>
        <vt:lpwstr/>
      </vt:variant>
      <vt:variant>
        <vt:i4>2818081</vt:i4>
      </vt:variant>
      <vt:variant>
        <vt:i4>18</vt:i4>
      </vt:variant>
      <vt:variant>
        <vt:i4>0</vt:i4>
      </vt:variant>
      <vt:variant>
        <vt:i4>5</vt:i4>
      </vt:variant>
      <vt:variant>
        <vt:lpwstr>https://wcd.coe.int/ViewDoc.jsp?id=1710949</vt:lpwstr>
      </vt:variant>
      <vt:variant>
        <vt:lpwstr/>
      </vt:variant>
      <vt:variant>
        <vt:i4>7471151</vt:i4>
      </vt:variant>
      <vt:variant>
        <vt:i4>15</vt:i4>
      </vt:variant>
      <vt:variant>
        <vt:i4>0</vt:i4>
      </vt:variant>
      <vt:variant>
        <vt:i4>5</vt:i4>
      </vt:variant>
      <vt:variant>
        <vt:lpwstr>http://online.wsj.com/article/SB10001424052748704694004576020083703574602.html</vt:lpwstr>
      </vt:variant>
      <vt:variant>
        <vt:lpwstr/>
      </vt:variant>
      <vt:variant>
        <vt:i4>5701635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http://ec.europa.eu/justice/data-protection/article-29/documentation/other-document/files/2015/20150205_letter_art29wp_ec_health_data_after_plenary_en.pdf</vt:lpwstr>
      </vt:variant>
      <vt:variant>
        <vt:lpwstr/>
      </vt:variant>
      <vt:variant>
        <vt:i4>6291531</vt:i4>
      </vt:variant>
      <vt:variant>
        <vt:i4>9</vt:i4>
      </vt:variant>
      <vt:variant>
        <vt:i4>0</vt:i4>
      </vt:variant>
      <vt:variant>
        <vt:i4>5</vt:i4>
      </vt:variant>
      <vt:variant>
        <vt:lpwstr>http://ec.europa.eu/justice/data-protection/article-29/documentation/opinion-recommendation/files/2014/wp216_en.pdf</vt:lpwstr>
      </vt:variant>
      <vt:variant>
        <vt:lpwstr/>
      </vt:variant>
      <vt:variant>
        <vt:i4>786469</vt:i4>
      </vt:variant>
      <vt:variant>
        <vt:i4>6</vt:i4>
      </vt:variant>
      <vt:variant>
        <vt:i4>0</vt:i4>
      </vt:variant>
      <vt:variant>
        <vt:i4>5</vt:i4>
      </vt:variant>
      <vt:variant>
        <vt:lpwstr>http://ec.europa.eu/justice/policies/privacy/docs/wpdocs/2007/wp136_en.pdf</vt:lpwstr>
      </vt:variant>
      <vt:variant>
        <vt:lpwstr/>
      </vt:variant>
      <vt:variant>
        <vt:i4>4522036</vt:i4>
      </vt:variant>
      <vt:variant>
        <vt:i4>3</vt:i4>
      </vt:variant>
      <vt:variant>
        <vt:i4>0</vt:i4>
      </vt:variant>
      <vt:variant>
        <vt:i4>5</vt:i4>
      </vt:variant>
      <vt:variant>
        <vt:lpwstr>https://secure.edps.europa.eu/EDPSWEB/webdav/site/mySite/shared/Documents/Consultation/Thematic%20Guidelines/14-11-25_Financial_Guidelines_EN.pdf</vt:lpwstr>
      </vt:variant>
      <vt:variant>
        <vt:lpwstr/>
      </vt:variant>
      <vt:variant>
        <vt:i4>6488138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http://ec.europa.eu/justice/data-protection/article-29/documentation/opinion-recommendation/files/2013/wp202_en.pdf</vt:lpwstr>
      </vt:variant>
      <vt:variant>
        <vt:lpwstr/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CDT</dc:creator>
  <lastModifiedBy>CDT</lastModifiedBy>
  <revision>7</revision>
  <lastPrinted>2019-06-21T15:34:00.0000000Z</lastPrinted>
  <dcterms:created xsi:type="dcterms:W3CDTF">2020-02-03T15:01:00.0000000Z</dcterms:created>
  <dcterms:modified xsi:type="dcterms:W3CDTF">2020-02-17T14:27:00.0000000Z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DPSOM@103.3700:edpscasenumber">
    <vt:lpwstr>2019-0432</vt:lpwstr>
  </property>
  <property fmtid="{D5CDD505-2E9C-101B-9397-08002B2CF9AE}" pid="3" name="FSC#EDPSOM@103.3700:edpscasetitle">
    <vt:lpwstr>DG JUST: Consultation on 2 proposals 1. on service of Judicial and extrajudicial documents in civil matters and 2. on cooperation between courts of MS in the taking of evidence in civil matters</vt:lpwstr>
  </property>
  <property fmtid="{D5CDD505-2E9C-101B-9397-08002B2CF9AE}" pid="4" name="FSC#EDPSOM@103.3700:edpscasedescription">
    <vt:lpwstr>DG JUST: Consultation on 2 proposals 1. on service of  Judicial and extrajudicial documents in civil matters and 2. on cooperation between courts of MS in the taking of evidence in civil matters</vt:lpwstr>
  </property>
  <property fmtid="{D5CDD505-2E9C-101B-9397-08002B2CF9AE}" pid="5" name="FSC#EDPSOM@103.3700:edpsarrivalnumber">
    <vt:lpwstr/>
  </property>
  <property fmtid="{D5CDD505-2E9C-101B-9397-08002B2CF9AE}" pid="6" name="FSC#EDPSOM@103.3700:edpsdeparturenumber">
    <vt:lpwstr/>
  </property>
  <property fmtid="{D5CDD505-2E9C-101B-9397-08002B2CF9AE}" pid="7" name="FSC#COOSYSTEM@1.1:Container">
    <vt:lpwstr>COO.6515.100.2.381293</vt:lpwstr>
  </property>
  <property fmtid="{D5CDD505-2E9C-101B-9397-08002B2CF9AE}" pid="8" name="FSC#FSCFOLIO@1.1001:docpropproject">
    <vt:lpwstr/>
  </property>
</Properties>
</file>