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2E23" w:rsidR="00993934" w:rsidP="00306297" w:rsidRDefault="00993934" w14:paraId="3AA01DBC" w14:textId="7167B3F8">
      <w:pPr>
        <w:rPr>
          <w:b/>
          <w:i/>
        </w:rPr>
      </w:pPr>
      <w:r w:rsidRPr="00E02E23">
        <w:rPr>
          <w:b/>
        </w:rPr>
        <w:t>Tiivistelmä Euroopan tietosuojavaltuutetun lausunnosta, joka koskee EU:n ja Japanin välisen matkustajarekisteritietojen siirtämistä ja käyttöä koskevan sopimuksen neuvotteluvaltuuksia</w:t>
      </w:r>
    </w:p>
    <w:p w:rsidRPr="00E02E23" w:rsidR="00993934" w:rsidP="00306297" w:rsidRDefault="00993934" w14:paraId="3B817892" w14:textId="77777777">
      <w:pPr>
        <w:rPr>
          <w:i/>
        </w:rPr>
      </w:pPr>
    </w:p>
    <w:p w:rsidRPr="00E02E23" w:rsidR="00993934" w:rsidP="00993934" w:rsidRDefault="00993934" w14:paraId="2E31B8C9" w14:textId="77777777">
      <w:pPr>
        <w:rPr>
          <w:i/>
        </w:rPr>
      </w:pPr>
      <w:r w:rsidRPr="00E02E23">
        <w:rPr>
          <w:i/>
        </w:rPr>
        <w:t xml:space="preserve">[Koko lausunto on luettavissa englanniksi, ranskaksi ja saksaksi Euroopan tietosuojavaltuutetun verkkosivustolla </w:t>
      </w:r>
      <w:hyperlink w:history="1" r:id="rId10">
        <w:r w:rsidRPr="00E02E23">
          <w:rPr>
            <w:rStyle w:val="Hyperlink"/>
            <w:i/>
          </w:rPr>
          <w:t>www.edps.europa.eu</w:t>
        </w:r>
      </w:hyperlink>
      <w:r w:rsidRPr="00E02E23">
        <w:rPr>
          <w:i/>
        </w:rPr>
        <w:t>]</w:t>
      </w:r>
    </w:p>
    <w:p w:rsidRPr="00E02E23" w:rsidR="00993934" w:rsidP="00306297" w:rsidRDefault="00993934" w14:paraId="56FC0468" w14:textId="77777777">
      <w:pPr>
        <w:rPr>
          <w:b/>
          <w:color w:val="005DA4"/>
        </w:rPr>
      </w:pPr>
    </w:p>
    <w:p w:rsidRPr="00E02E23" w:rsidR="0010766F" w:rsidP="00993934" w:rsidRDefault="0010766F" w14:paraId="22479FE6" w14:textId="5A1B18ED">
      <w:pPr>
        <w:spacing w:after="200"/>
      </w:pPr>
      <w:r w:rsidRPr="00E02E23">
        <w:t>Euroopan komissio antoi 27. syyskuuta 2019 suosituksen neuvoston päätökseksi luvan antamisesta neuvottelujen aloittamiseen Euroopan unionin ja Japanin välisestä sopimuksesta, joka koskee matkustajarekisteritietojen (PNR) siirtämistä ja käyttöä terrorismin ja muun vakavan kansainvälisen rikollisuuden ehkäisemiseksi ja torjumiseksi. Suunnitellun sopimuksen tarkoituksena on määrittää oikeusperusta ja edellytykset, joiden mukaisesti lentoliikenteen harjoittajille annetaan lupa siirtää EU:n ja Japanin välillä lentäviä matkustajia koskevat PNR-tiedot Japaniin EU:n lainsäädännön vaatimusten, esimerkiksi Euroopan unionin perusoikeuskirjan, mukaisella tavalla.</w:t>
      </w:r>
    </w:p>
    <w:p w:rsidRPr="00E02E23" w:rsidR="00303072" w:rsidP="00993934" w:rsidRDefault="00303072" w14:paraId="75FC61D9" w14:textId="556B0E90">
      <w:pPr>
        <w:spacing w:after="200"/>
      </w:pPr>
      <w:r w:rsidRPr="00E02E23">
        <w:t>Euroopan tietosuojavaltuutettu on tyytyväinen neuvotteluvaltuuksien tavoitteeseen varmistaa, että Euroopan unionin perusoikeuskirjan 7 ja 8 artiklassa vahvistettuja perusoikeuksia ja -vapauksia sekä tarpeellisuus- ja suhteellisuusperiaatteita, sellaisina kuin unionin tuomioistuin on niitä EU:n ja Kanadan välistä PNR-sopimusta koskevassa lausunnossaan 1/15 tulkinnut, kunnioitetaan kaikilta osin.</w:t>
      </w:r>
    </w:p>
    <w:p w:rsidRPr="00E02E23" w:rsidR="0010766F" w:rsidP="00993934" w:rsidRDefault="00FC1F8F" w14:paraId="67D55334" w14:textId="3CE3783A">
      <w:pPr>
        <w:spacing w:after="200"/>
      </w:pPr>
      <w:r w:rsidRPr="00E02E23">
        <w:t>Suunniteltu sopimus vaikuttaa erittäin monien rikolliseen toimintaan sekaantumattomien yksilöiden perusoikeuksiin, joten Euroopan tietosuojavaltuutettu katsoo, että sopimukseen on sisällyttävä kaikki tarvittavat aineelliset ja menettelylliset takeet PNR-järjestelmän oikeasuhteisuuden varmistamiseksi sekä yksityisyyttä ja tietosuojaa koskevaan oikeuteen puuttumisen rajoittamiseksi vain siihen, mikä on ehdottoman tarpeellista ja Euroopan unionin yleisen edun perusteella oikeutettua. Tätä varten Euroopan tietosuojavaltuutettu esittää neuvotteluohjeiden parantamiseksi useita suosituksia, kuten seuraavat:</w:t>
      </w:r>
    </w:p>
    <w:p w:rsidRPr="00E02E23" w:rsidR="00303072" w:rsidP="00993934" w:rsidRDefault="00303072" w14:paraId="7353752B" w14:textId="46C0C7A7">
      <w:pPr>
        <w:pStyle w:val="ListParagraph"/>
        <w:numPr>
          <w:ilvl w:val="0"/>
          <w:numId w:val="22"/>
        </w:numPr>
      </w:pPr>
      <w:r w:rsidRPr="00E02E23">
        <w:t>PNR-järjestelmän tarpeellisuuden ja oikeasuhteisuuden suhteen on noudatettava tiukkaa lähestymistapaa</w:t>
      </w:r>
    </w:p>
    <w:p w:rsidRPr="00E02E23" w:rsidR="00F5794D" w:rsidP="00993934" w:rsidRDefault="00303072" w14:paraId="78BEFD50" w14:textId="07DBD786">
      <w:pPr>
        <w:pStyle w:val="ListParagraph"/>
        <w:numPr>
          <w:ilvl w:val="0"/>
          <w:numId w:val="22"/>
        </w:numPr>
      </w:pPr>
      <w:r w:rsidRPr="00E02E23">
        <w:t>siirrettyjen PNR-tietojen jatkokäytön on oltava käyttötarkoituksen rajoittamista koskevan periaatteen mukaisesti erittäin hyvin perusteltua, selkeästi ja tarkasti määriteltyä sekä rajoitettua siihen, mikä on ehdottoman tarpeellista</w:t>
      </w:r>
    </w:p>
    <w:p w:rsidRPr="00E02E23" w:rsidR="00303072" w:rsidP="00993934" w:rsidRDefault="00303072" w14:paraId="30AE3CA2" w14:textId="08E13F22">
      <w:pPr>
        <w:pStyle w:val="ListParagraph"/>
        <w:numPr>
          <w:ilvl w:val="0"/>
          <w:numId w:val="22"/>
        </w:numPr>
      </w:pPr>
      <w:r w:rsidRPr="00E02E23">
        <w:t>neuvoston päätökseen, jolla annetaan lupa neuvottelujen aloittamiseen, on sisällyttävä viittaus menettelyllisen oikeusperustan lisäksi myös aineelliseen oikeusperustaan, kuten SEUT 16 artiklaan</w:t>
      </w:r>
    </w:p>
    <w:p w:rsidRPr="00E02E23" w:rsidR="00F5794D" w:rsidP="00993934" w:rsidRDefault="00303072" w14:paraId="5208CF56" w14:textId="6CE040D8">
      <w:pPr>
        <w:pStyle w:val="ListParagraph"/>
        <w:numPr>
          <w:ilvl w:val="0"/>
          <w:numId w:val="22"/>
        </w:numPr>
      </w:pPr>
      <w:r w:rsidRPr="00E02E23">
        <w:t xml:space="preserve">on kiinnitettävä erityistä huomiota sellaisten riskien ehkäisemiseen, jotka liittyvät lentomatkustajia koskevien tietojen erityisryhmien epäsuoraan paljastamiseen sekä yksilöiden </w:t>
      </w:r>
      <w:proofErr w:type="spellStart"/>
      <w:r w:rsidRPr="00E02E23">
        <w:t>jälleentunnistamiseen</w:t>
      </w:r>
      <w:proofErr w:type="spellEnd"/>
      <w:r w:rsidRPr="00E02E23">
        <w:t xml:space="preserve"> heihin liittyvien PNR-tietojen </w:t>
      </w:r>
      <w:proofErr w:type="spellStart"/>
      <w:r w:rsidRPr="00E02E23">
        <w:t>anonymisoinnin</w:t>
      </w:r>
      <w:proofErr w:type="spellEnd"/>
      <w:r w:rsidRPr="00E02E23">
        <w:t xml:space="preserve"> jälkeen</w:t>
      </w:r>
    </w:p>
    <w:p w:rsidRPr="00E02E23" w:rsidR="009A64EB" w:rsidP="00993934" w:rsidRDefault="009A64EB" w14:paraId="3706F806" w14:textId="327024A2">
      <w:pPr>
        <w:pStyle w:val="ListParagraph"/>
        <w:numPr>
          <w:ilvl w:val="0"/>
          <w:numId w:val="22"/>
        </w:numPr>
        <w:spacing w:after="200"/>
      </w:pPr>
      <w:r w:rsidRPr="00E02E23">
        <w:t>suunniteltuun sopimukseen on sisällyttävä lausekkeita, joilla mahdollistetaan sopimuksen keskeyttäminen, jos sen määräyksiä rikotaan, sekä sopimuksen purkaminen, jos määräysten noudattamatta jättäminen on vakavaa ja jatkuvaa.</w:t>
      </w:r>
    </w:p>
    <w:p w:rsidRPr="00E02E23" w:rsidR="0010766F" w:rsidP="00993934" w:rsidRDefault="0010766F" w14:paraId="2165D998" w14:textId="3B8E35C4">
      <w:pPr>
        <w:spacing w:after="200"/>
      </w:pPr>
      <w:r w:rsidRPr="00E02E23">
        <w:t>Euroopan tietosuojavaltuutettu antaa tässä lausunnossa yksityiskohtaisempia suosituksia.</w:t>
      </w:r>
    </w:p>
    <w:p w:rsidRPr="00E02E23" w:rsidR="006031EC" w:rsidP="00E02E23" w:rsidRDefault="0010766F" w14:paraId="698D4805" w14:textId="4DF0C24C">
      <w:pPr>
        <w:spacing w:after="200"/>
      </w:pPr>
      <w:r w:rsidRPr="00E02E23">
        <w:t>Euroopan tietosuojavaltuutettu on toimielinten käytettävissä lisätietojen antamiseksi neuvottelujen aikana. Lisäksi hän odottaa, että häntä kuullaan sopimusluonnoksen laatimisen myöhemmissä vaiheissa asetuksen (EU) 2018/1725 42 artiklan mukaisesti.</w:t>
      </w:r>
      <w:r w:rsidRPr="00E02E23" w:rsidR="006031EC">
        <w:br w:type="page"/>
      </w:r>
    </w:p>
    <w:p w:rsidRPr="00E02E23" w:rsidR="002B4019" w:rsidP="00993934" w:rsidRDefault="006A20B1" w14:paraId="7E3E9A85" w14:textId="25B99B66">
      <w:pPr>
        <w:pStyle w:val="Heading1"/>
        <w:keepLines/>
        <w:numPr>
          <w:ilvl w:val="0"/>
          <w:numId w:val="2"/>
        </w:numPr>
        <w:spacing w:after="200"/>
        <w:jc w:val="both"/>
        <w:rPr>
          <w:sz w:val="32"/>
          <w:szCs w:val="32"/>
        </w:rPr>
      </w:pPr>
      <w:bookmarkStart w:name="_Toc425509692" w:id="0"/>
      <w:r w:rsidRPr="00E02E23">
        <w:rPr>
          <w:sz w:val="32"/>
          <w:szCs w:val="32"/>
        </w:rPr>
        <w:lastRenderedPageBreak/>
        <w:tab/>
      </w:r>
      <w:bookmarkStart w:name="_Toc22124185" w:id="1"/>
      <w:r w:rsidRPr="00E02E23">
        <w:rPr>
          <w:sz w:val="32"/>
          <w:szCs w:val="32"/>
        </w:rPr>
        <w:t>JOHDANTO JA TAUSTA</w:t>
      </w:r>
      <w:bookmarkEnd w:id="1"/>
    </w:p>
    <w:p w:rsidRPr="00E02E23" w:rsidR="009F5880" w:rsidP="00EA1EA1" w:rsidRDefault="00040910" w14:paraId="2EE4956E" w14:textId="77777777">
      <w:pPr>
        <w:pStyle w:val="ListParagraph"/>
        <w:numPr>
          <w:ilvl w:val="0"/>
          <w:numId w:val="11"/>
        </w:numPr>
        <w:spacing w:after="240"/>
      </w:pPr>
      <w:r w:rsidRPr="00E02E23">
        <w:t xml:space="preserve">Euroopan komissio antoi 27. syyskuuta 2019 suosituksen neuvoston päätökseksi luvan antamisesta neuvottelujen aloittamiseen Euroopan unionin (EU) ja Japanin välisestä sopimuksesta, joka koskee matkustajarekisteritietojen (PNR) siirtämistä ja käyttöä terrorismin ja muun vakavan kansainvälisen rikollisuuden ehkäisemiseksi ja torjumiseksi. Suosituksen liitteessä (jäljempänä ”liite”) määritetään neuvoston neuvotteluohjeet Euroopan komissiolle </w:t>
      </w:r>
      <w:r w:rsidRPr="00E02E23">
        <w:rPr>
          <w:i/>
        </w:rPr>
        <w:t>eli</w:t>
      </w:r>
      <w:r w:rsidRPr="00E02E23">
        <w:t xml:space="preserve"> tavoitteet, jotka komission olisi pyrittävä EU:n puolesta neuvotteluissa saavuttamaan.</w:t>
      </w:r>
    </w:p>
    <w:p w:rsidRPr="00E02E23" w:rsidR="00EA1EA1" w:rsidP="00EA1EA1" w:rsidRDefault="00EA1EA1" w14:paraId="12455888" w14:textId="77777777">
      <w:pPr>
        <w:pStyle w:val="ListParagraph"/>
        <w:spacing w:after="240"/>
        <w:ind w:left="360"/>
      </w:pPr>
    </w:p>
    <w:p w:rsidRPr="00E02E23" w:rsidR="006405EF" w:rsidP="00EA1EA1" w:rsidRDefault="009A3AD5" w14:paraId="09621C65" w14:textId="77777777">
      <w:pPr>
        <w:pStyle w:val="ListParagraph"/>
        <w:numPr>
          <w:ilvl w:val="0"/>
          <w:numId w:val="11"/>
        </w:numPr>
        <w:spacing w:after="200"/>
      </w:pPr>
      <w:r w:rsidRPr="00E02E23">
        <w:t>Suositus on annettu Euroopan unionin toiminnasta tehdyn sopimuksen (SEUT) 218 artiklassa määritetyn, EU:n ja kolmansien maiden välisiin sopimuksiin sovellettavan menettelyn mukaisesti. Tällä suosituksella komissio pyrkii saamaan neuvostolta luvan toimia neuvottelijana EU:n puolesta sekä aloittamaan neuvottelut Japanin kanssa neuvotteluvaltuuksien mukaisesti. Kun neuvottelut on saatu päätökseen, sopimuksen tekeminen edellyttää, että Euroopan parlamentti hyväksyy neuvotellun sopimustekstin. Tämän jälkeen neuvoston on tehtävä päätös sopimuksen tekemisestä.</w:t>
      </w:r>
    </w:p>
    <w:p w:rsidRPr="00E02E23" w:rsidR="00EA1EA1" w:rsidP="00EA1EA1" w:rsidRDefault="00EA1EA1" w14:paraId="13E81102" w14:textId="77777777">
      <w:pPr>
        <w:pStyle w:val="ListParagraph"/>
        <w:spacing w:after="200"/>
        <w:ind w:left="360"/>
      </w:pPr>
    </w:p>
    <w:p w:rsidRPr="00E02E23" w:rsidR="002B4019" w:rsidP="002B4019" w:rsidRDefault="002B4019" w14:paraId="2E5EB1F7" w14:textId="5F10BE0D">
      <w:pPr>
        <w:numPr>
          <w:ilvl w:val="0"/>
          <w:numId w:val="11"/>
        </w:numPr>
        <w:spacing w:after="200"/>
      </w:pPr>
      <w:r w:rsidRPr="00E02E23">
        <w:t>Oikeudellinen kehys PNR-tietojen käsittelylle EU:ssa on matkustajarekisteritietojen (PNR) käytöstä terrorismirikosten ja vakavan rikollisuuden ennalta estämistä, paljastamista ja tutkintaa sekä tällaisiin rikoksiin liittyviä syytetoimia varten 27 päivänä huhtikuuta 2016 annettu Euroopan parlamentin ja neuvoston direktiivi (EU) 2016/681 (PNR-direktiivi). Jäsenvaltioiden oli saatettava direktiivin noudattamisen edellyttämät lait, asetukset ja hallinnolliset määräykset voimaan viimeistään 25. toukokuuta 2018. Euroopan komission on toteutettava PNR-direktiivin ensimmäinen tarkastelu viimeistään 25. toukokuuta 2020.</w:t>
      </w:r>
    </w:p>
    <w:p w:rsidRPr="00E02E23" w:rsidR="002B4019" w:rsidP="002B4019" w:rsidRDefault="002B4019" w14:paraId="3F092345" w14:textId="6A150440">
      <w:pPr>
        <w:numPr>
          <w:ilvl w:val="0"/>
          <w:numId w:val="11"/>
        </w:numPr>
        <w:spacing w:after="200"/>
      </w:pPr>
      <w:r w:rsidRPr="00E02E23">
        <w:t>Tällä hetkellä EU:n ja kolmansien maiden välillä on voimassa kaksi PNR-tietojen käsittelyä ja siirtämistä koskevaa kansainvälistä sopimusta. Sopimukset Australian</w:t>
      </w:r>
      <w:r w:rsidRPr="00E02E23">
        <w:rPr>
          <w:vertAlign w:val="superscript"/>
        </w:rPr>
        <w:endnoteReference w:id="1"/>
      </w:r>
      <w:r w:rsidRPr="00E02E23">
        <w:t xml:space="preserve"> ja Yhdysvaltojen</w:t>
      </w:r>
      <w:r w:rsidRPr="00E02E23">
        <w:rPr>
          <w:vertAlign w:val="superscript"/>
        </w:rPr>
        <w:endnoteReference w:id="2"/>
      </w:r>
      <w:r w:rsidRPr="00E02E23">
        <w:t xml:space="preserve"> kanssa on tehty vuonna 2011. Euroopan unionin tuomioistuin antoi Euroopan parlamentin pyynnöstä SEUT 218 artiklan 11 kohdan nojalla 26. heinäkuuta 2017 lausunnon 1/15</w:t>
      </w:r>
      <w:r w:rsidRPr="00E02E23">
        <w:rPr>
          <w:vertAlign w:val="superscript"/>
        </w:rPr>
        <w:endnoteReference w:id="3"/>
      </w:r>
      <w:r w:rsidRPr="00E02E23">
        <w:t xml:space="preserve"> PNR-tietojen siirtämistä ja käsittelyä koskevasta EU:n ja Kanadan välisestä suunnitellusta sopimuksesta, joka allekirjoitettiin 25. kesäkuuta 2014. Tuomioistuin totesi, että sopimus ei sovi yhteen Euroopan unionin perusoikeuskirjan 7, 8 ja 21 artiklan sekä 52 artiklan 1 kohdan kanssa siltä osin kuin siinä ei suljeta pois arkaluonteisten tietojen siirtoa EU:sta Kanadaan eikä myöskään näiden tietojen käyttöä ja säilyttämistä. Lisäksi tuomioistuin määritti useita edellytyksiä ja suojatoimia PNR-tietojen lailliselle käsittelylle ja siirtämiselle. Lausunnon 1/15 perusteella Kanadan kanssa on aloitettu kesäkuussa 2018 uudet PNR-neuvottelut, jotka komission mukaan ovat edenneet viimeiseen vaiheeseen.</w:t>
      </w:r>
    </w:p>
    <w:p w:rsidRPr="00E02E23" w:rsidR="002B4019" w:rsidP="002B4019" w:rsidRDefault="002B4019" w14:paraId="3BCB6E76" w14:textId="64566B27">
      <w:pPr>
        <w:numPr>
          <w:ilvl w:val="0"/>
          <w:numId w:val="11"/>
        </w:numPr>
        <w:spacing w:after="200"/>
      </w:pPr>
      <w:r w:rsidRPr="00E02E23">
        <w:t xml:space="preserve">Maailmanlaajuisella tasolla PNR-tietoja koskevaa kysymystä käsitellään vuonna 1947 voimaan tulleessa kansainvälisen siviili-ilmailun yleissopimuksessa (Chicagon yleissopimus), jossa säännellään kansainvälistä lentoliikennettä ja määritetään kansainvälisen siviili-ilmailujärjestön (ICAO) tehtävät. </w:t>
      </w:r>
      <w:proofErr w:type="spellStart"/>
      <w:r w:rsidRPr="00E02E23">
        <w:t>ICAOn</w:t>
      </w:r>
      <w:proofErr w:type="spellEnd"/>
      <w:r w:rsidRPr="00E02E23">
        <w:t xml:space="preserve"> neuvosto on hyväksynyt PNR-tietoja koskevat standardit ja suositellut menettelytavat, jotka sisältyvät Chicagon yleissopimuksen liitteeseen 9 (Maahantulon helpottaminen). Niitä täydentävät lisäohjeet, erityisesti </w:t>
      </w:r>
      <w:proofErr w:type="spellStart"/>
      <w:r w:rsidRPr="00E02E23">
        <w:t>ICAOn</w:t>
      </w:r>
      <w:proofErr w:type="spellEnd"/>
      <w:r w:rsidRPr="00E02E23">
        <w:t xml:space="preserve"> asiakirja nro 9944, jossa esitetään matkustajarekisteritietoja (PNR) koskevat suuntaviivat</w:t>
      </w:r>
      <w:r w:rsidRPr="00E02E23">
        <w:rPr>
          <w:vertAlign w:val="superscript"/>
        </w:rPr>
        <w:endnoteReference w:id="4"/>
      </w:r>
      <w:r w:rsidRPr="00E02E23">
        <w:t>. Kaikki EU:n jäsenvaltiot ovat Chicagon yleissopimuksen osapuolia.</w:t>
      </w:r>
    </w:p>
    <w:p w:rsidRPr="00E02E23" w:rsidR="002B4019" w:rsidP="002B4019" w:rsidRDefault="002B4019" w14:paraId="2F2B7C49" w14:textId="6025F76D">
      <w:pPr>
        <w:numPr>
          <w:ilvl w:val="0"/>
          <w:numId w:val="11"/>
        </w:numPr>
        <w:spacing w:after="200"/>
      </w:pPr>
      <w:r w:rsidRPr="00E02E23">
        <w:lastRenderedPageBreak/>
        <w:t>Lisäksi palaavien terrorismiin syyllistyneiden vierastaistelijoiden aiheuttamista uhista kansainväliselle rauhalle ja turvallisuudelle 21 päivänä joulukuuta 2017 annetussa Yhdistyneiden kansakuntien turvallisuusneuvoston päätöslauselmassa 2396 (2017) edellytetään, että YK:n jäsenvaltiot ”</w:t>
      </w:r>
      <w:r w:rsidRPr="00E02E23">
        <w:rPr>
          <w:i/>
        </w:rPr>
        <w:t xml:space="preserve">kehittävät </w:t>
      </w:r>
      <w:proofErr w:type="spellStart"/>
      <w:r w:rsidRPr="00E02E23">
        <w:rPr>
          <w:i/>
        </w:rPr>
        <w:t>ICAOn</w:t>
      </w:r>
      <w:proofErr w:type="spellEnd"/>
      <w:r w:rsidRPr="00E02E23">
        <w:rPr>
          <w:i/>
        </w:rPr>
        <w:t xml:space="preserve"> standardien ja suositeltujen menettelytapojen edistämiseksi valmiuksia kerätä, käsitellä ja analysoida matkustajarekisteritietoja (PNR) sekä varmistavat, että niiden toimivaltaiset kansalliset viranomaiset käyttävät ja niille toimitetaan PNR-tietoja kunnioittaen täysimääräisesti ihmisoikeuksia ja perusvapauksia”</w:t>
      </w:r>
      <w:r w:rsidRPr="00E02E23">
        <w:t xml:space="preserve">. Lisäksi turvallisuusneuvosto </w:t>
      </w:r>
      <w:r w:rsidRPr="00E02E23">
        <w:rPr>
          <w:i/>
        </w:rPr>
        <w:t>”kannustaa jäsenvaltioita tarvittaessa toimittamaan PNR-tietoja asiaan liittyville tai kyseessä oleville jäsenvaltioille terrorismiin syyllistyneiden vierastaistelijoiden paljastamiseksi”</w:t>
      </w:r>
      <w:r w:rsidRPr="00E02E23">
        <w:rPr>
          <w:vertAlign w:val="superscript"/>
        </w:rPr>
        <w:endnoteReference w:id="5"/>
      </w:r>
      <w:r w:rsidRPr="00E02E23">
        <w:t>.</w:t>
      </w:r>
    </w:p>
    <w:p w:rsidRPr="00E02E23" w:rsidR="00875FA8" w:rsidP="00A06782" w:rsidRDefault="00875FA8" w14:paraId="138A6904" w14:textId="59B17399">
      <w:pPr>
        <w:numPr>
          <w:ilvl w:val="0"/>
          <w:numId w:val="11"/>
        </w:numPr>
      </w:pPr>
      <w:r w:rsidRPr="00E02E23">
        <w:t>Euroopan tietosuojavaltuutettu on tyytyväinen, että häntä on kuultu Euroopan komission annettua suosituksen, ja odottaa, että neuvoston päätöksen johdanto-osaan sisällytetään viittaus käsillä olevaan lausuntoon. Käsillä oleva lausunto ei estä Euroopan tietosuojavaltuutettua tekemästä muita huomioita, jotka voivat olla tarpeen myöhemmässä vaiheessa saatavilla olevien lisätietojen perusteella.</w:t>
      </w:r>
    </w:p>
    <w:p w:rsidRPr="00E02E23" w:rsidR="00A06782" w:rsidP="00A06782" w:rsidRDefault="00A06782" w14:paraId="05B42449" w14:textId="652B1DE7">
      <w:pPr>
        <w:spacing w:after="200"/>
        <w:ind w:left="360"/>
      </w:pPr>
    </w:p>
    <w:p w:rsidRPr="00E02E23" w:rsidR="00E515CF" w:rsidP="00E515CF" w:rsidRDefault="00E515CF" w14:paraId="6FD3076F" w14:textId="3C478248">
      <w:pPr>
        <w:pStyle w:val="Heading1"/>
        <w:keepLines/>
        <w:numPr>
          <w:ilvl w:val="0"/>
          <w:numId w:val="26"/>
        </w:numPr>
        <w:spacing w:after="200"/>
        <w:ind w:hanging="76"/>
        <w:jc w:val="both"/>
        <w:rPr>
          <w:sz w:val="32"/>
          <w:szCs w:val="32"/>
        </w:rPr>
      </w:pPr>
      <w:r w:rsidRPr="00E02E23">
        <w:rPr>
          <w:sz w:val="32"/>
          <w:szCs w:val="32"/>
        </w:rPr>
        <w:t>PÄÄTELMÄT</w:t>
      </w:r>
    </w:p>
    <w:p w:rsidRPr="00E02E23" w:rsidR="005F637D" w:rsidP="00993934" w:rsidRDefault="00E63C0D" w14:paraId="0082D7B4" w14:textId="5E735E7E">
      <w:pPr>
        <w:pStyle w:val="ListParagraph"/>
        <w:numPr>
          <w:ilvl w:val="0"/>
          <w:numId w:val="24"/>
        </w:numPr>
        <w:spacing w:after="120"/>
      </w:pPr>
      <w:r w:rsidRPr="00E02E23">
        <w:t>Euroopan tietosuojavaltuutettu on tyytyväinen neuvotteluvaltuuksien tavoitteeseen varmistaa, että Euroopan unionin perusoikeuskirjan 7 ja 8 artiklassa vahvistettuja perusoikeuksia ja -vapauksia sekä tarpeellisuus- ja suhteellisuusperiaatteita, sellaisina kuin Euroopan unionin tuomioistuin on niitä EU:n ja Kanadan välistä PNR-sopimusta koskevassa lausunnossaan 1/15 tulkinnut, kunnioitetaan kaikilta osin.</w:t>
      </w:r>
    </w:p>
    <w:p w:rsidRPr="00E02E23" w:rsidR="009E77F4" w:rsidP="005F637D" w:rsidRDefault="009E77F4" w14:paraId="3699D3B5" w14:textId="07AC94CB">
      <w:pPr>
        <w:pStyle w:val="ListParagraph"/>
        <w:spacing w:after="120"/>
        <w:ind w:left="360"/>
      </w:pPr>
    </w:p>
    <w:p w:rsidRPr="00E02E23" w:rsidR="005F637D" w:rsidP="00993934" w:rsidRDefault="000E427E" w14:paraId="4138C65E" w14:textId="02D4EBEB">
      <w:pPr>
        <w:pStyle w:val="ListParagraph"/>
        <w:numPr>
          <w:ilvl w:val="0"/>
          <w:numId w:val="24"/>
        </w:numPr>
        <w:spacing w:after="120"/>
      </w:pPr>
      <w:r w:rsidRPr="00E02E23">
        <w:t>Suunniteltu sopimus vaikuttaa erittäin monien rikolliseen toimintaan sekaantumattomien yksilöiden perusoikeuksiin, joten Euroopan tietosuojavaltuutettu katsoo, että tulevaan sopimukseen on sisällyttävä kaikki tarvittavat aineelliset ja menettelylliset takeet, jotka kokonaisuudessaan varmistaisivat PNR-järjestelmän oikeasuhteisuuden sekä rajoittaisivat yksityisyyttä ja tietosuojaa koskevaan oikeuteen puuttumisen vain siihen, mikä on ehdottoman tarpeellista ja EU:n yleisen edun perusteella oikeutettua.</w:t>
      </w:r>
    </w:p>
    <w:p w:rsidRPr="00E02E23" w:rsidR="00EE75CB" w:rsidP="00EE75CB" w:rsidRDefault="00EE75CB" w14:paraId="4D3B5E2E" w14:textId="77777777">
      <w:pPr>
        <w:pStyle w:val="ListParagraph"/>
        <w:spacing w:after="120"/>
        <w:ind w:left="360"/>
      </w:pPr>
    </w:p>
    <w:p w:rsidRPr="00E02E23" w:rsidR="001D74A9" w:rsidP="00993934" w:rsidRDefault="002647CC" w14:paraId="3A1EDF30" w14:textId="0F0AA6B5">
      <w:pPr>
        <w:pStyle w:val="ListParagraph"/>
        <w:numPr>
          <w:ilvl w:val="0"/>
          <w:numId w:val="24"/>
        </w:numPr>
        <w:spacing w:after="120"/>
      </w:pPr>
      <w:r w:rsidRPr="00E02E23">
        <w:t>Tämän vuoksi Euroopan tietosuojavaltuutettu painottaa pääasiallisena suosituksenaan tarvetta tiukalle lähestymistavalle PNR-järjestelmän tarpeellisuuden ja oikeasuhteisuuden suhteen. Lisäksi on kiinnitettävä erityistä huomiota siihen, miten käyttötarkoituksen rajoittamista koskeva periaate pannaan käytännössä täytäntöön siirrettyjen PNR-tietojen käytön osalta. Lisäksi Euroopan tietosuojavaltuutettu toistaa aikaisemmissa lausunnoissaan</w:t>
      </w:r>
      <w:r w:rsidRPr="00E02E23" w:rsidR="000C2F0E">
        <w:rPr>
          <w:rStyle w:val="EndnoteReference"/>
        </w:rPr>
        <w:endnoteReference w:id="6"/>
      </w:r>
      <w:r w:rsidRPr="00E02E23">
        <w:t xml:space="preserve"> esittämänsä kannan, jonka mukaan SEUT 218 artiklan nojalla annetun neuvoston päätöksen luvan antamisesta neuvottelujen aloittamiseen on sisällettävä viittaus menettelyllisen oikeusperustan lisäksi myös asianmukaiseen aineelliseen oikeusperustaan, johon on sisällyttävä SEUT 16 artikla.</w:t>
      </w:r>
    </w:p>
    <w:p w:rsidRPr="00E02E23" w:rsidR="005F637D" w:rsidP="005F637D" w:rsidRDefault="005F637D" w14:paraId="4D650283" w14:textId="77777777">
      <w:pPr>
        <w:pStyle w:val="ListParagraph"/>
        <w:spacing w:after="120"/>
        <w:ind w:left="360"/>
      </w:pPr>
    </w:p>
    <w:p w:rsidRPr="00E02E23" w:rsidR="00E63C0D" w:rsidP="00993934" w:rsidRDefault="00C94068" w14:paraId="371E3FC5" w14:textId="2869A23D">
      <w:pPr>
        <w:pStyle w:val="ListParagraph"/>
        <w:numPr>
          <w:ilvl w:val="0"/>
          <w:numId w:val="24"/>
        </w:numPr>
        <w:spacing w:after="120"/>
      </w:pPr>
      <w:r w:rsidRPr="00E02E23">
        <w:t xml:space="preserve">Muut käsillä olevaan lausuntoon sisältyvät Euroopan tietosuojavaltuutetun suositukset liittyvät operatiivisten henkilötietojen siirtämistä koskevaan asianmukaiseen oikeudelliseen kehykseen sekä tarpeeseen ehkäistä riskit, jotka liittyvät lentomatkustajia koskevien tietojen erityisryhmien epäsuoraan paljastamiseen ja yksilöiden </w:t>
      </w:r>
      <w:proofErr w:type="spellStart"/>
      <w:r w:rsidRPr="00E02E23">
        <w:t>jälleentunnistamiseen</w:t>
      </w:r>
      <w:proofErr w:type="spellEnd"/>
      <w:r w:rsidRPr="00E02E23">
        <w:t xml:space="preserve"> heihin liittyvien PNR-tietojen </w:t>
      </w:r>
      <w:proofErr w:type="spellStart"/>
      <w:r w:rsidRPr="00E02E23">
        <w:t>anonymisoinnin</w:t>
      </w:r>
      <w:proofErr w:type="spellEnd"/>
      <w:r w:rsidRPr="00E02E23">
        <w:t xml:space="preserve"> jälkeen. Euroopan tietosuojavaltuutettu painottaa myös tarvetta selventää Japanin toimivaltaisten viranomaisten suorittamaa PNR-tietojen käsittelyn riippumatonta valvontaa, joka on yksi </w:t>
      </w:r>
      <w:r w:rsidRPr="00E02E23">
        <w:lastRenderedPageBreak/>
        <w:t>tärkeimmistä keinoista tietosuojaa koskevan oikeuden takaamiseksi. Lisäksi Euroopan tietosuojavaltuutettu suosittelee sellaisten lausekkeiden lisäämistä sopimukseen, joilla mahdollistetaan tulevan sopimuksen keskeyttäminen, jos sen määräyksiä rikotaan, sekä sopimuksen purkaminen, jos määräysten noudattamatta jättäminen on vakavaa ja jatkuvaa.</w:t>
      </w:r>
    </w:p>
    <w:p w:rsidRPr="00E02E23" w:rsidR="005F637D" w:rsidP="005F637D" w:rsidRDefault="005F637D" w14:paraId="1E813CCA" w14:textId="77777777">
      <w:pPr>
        <w:pStyle w:val="ListParagraph"/>
        <w:spacing w:after="120"/>
        <w:ind w:left="360"/>
      </w:pPr>
    </w:p>
    <w:p w:rsidRPr="00E02E23" w:rsidR="00E63C0D" w:rsidP="00993934" w:rsidRDefault="00036309" w14:paraId="5F05CB27" w14:textId="4BEF0729">
      <w:pPr>
        <w:pStyle w:val="ListParagraph"/>
        <w:numPr>
          <w:ilvl w:val="0"/>
          <w:numId w:val="24"/>
        </w:numPr>
        <w:spacing w:after="120"/>
      </w:pPr>
      <w:r w:rsidRPr="00E02E23">
        <w:t>Euroopan tietosuojavaltuutettu on komission, neuvoston ja Euroopan parlamentin käytettävissä prosessin myöhemmissä vaiheissa tietojen antamista varten. Tämän lausunnon sisältämät huomautukset eivät estä Euroopan tietosuojavaltuutettua esittämästä lisähuomautuksia, jotka voivat olla tarpeen muiden kysymysten noustessa esiin. Ne käsitellään, kun lisätietoja on saatavilla. Tämän vuoksi Euroopan tietosuojavaltuutettu odottaa, että häntä kuullaan myöhemmin sopimusluonnoksen määräysten osalta ennen lopullisen sopimuksen tekemistä.</w:t>
      </w:r>
    </w:p>
    <w:p w:rsidRPr="00E02E23" w:rsidR="00F92ABA" w:rsidP="000752FA" w:rsidRDefault="00F92ABA" w14:paraId="7C4F72BA" w14:textId="77777777">
      <w:pPr>
        <w:spacing w:after="120"/>
      </w:pPr>
    </w:p>
    <w:p w:rsidRPr="00E02E23" w:rsidR="00486C67" w:rsidP="000752FA" w:rsidRDefault="00486C67" w14:paraId="0EF1486D" w14:textId="40D74E7B">
      <w:pPr>
        <w:spacing w:after="120"/>
      </w:pPr>
      <w:r w:rsidRPr="00E02E23">
        <w:t>Bryssel, 25. lokakuuta 2019</w:t>
      </w:r>
    </w:p>
    <w:p w:rsidRPr="00E02E23" w:rsidR="00213E0C" w:rsidP="000752FA" w:rsidRDefault="00213E0C" w14:paraId="79AD5AB7" w14:textId="713345AF">
      <w:pPr>
        <w:spacing w:after="120"/>
        <w:rPr>
          <w:lang w:val="pl-PL"/>
        </w:rPr>
      </w:pPr>
    </w:p>
    <w:p w:rsidRPr="00E02E23" w:rsidR="00213E0C" w:rsidP="000752FA" w:rsidRDefault="00213E0C" w14:paraId="57054E86" w14:textId="24C312FF">
      <w:pPr>
        <w:spacing w:after="120"/>
        <w:rPr>
          <w:lang w:val="pl-PL"/>
        </w:rPr>
      </w:pPr>
    </w:p>
    <w:p w:rsidRPr="00E02E23" w:rsidR="00213E0C" w:rsidP="000752FA" w:rsidRDefault="00213E0C" w14:paraId="6ABC9993" w14:textId="4E695C25">
      <w:pPr>
        <w:spacing w:after="120"/>
        <w:rPr>
          <w:lang w:val="pl-PL"/>
        </w:rPr>
      </w:pPr>
    </w:p>
    <w:p w:rsidRPr="00E02E23" w:rsidR="00213E0C" w:rsidP="000752FA" w:rsidRDefault="00213E0C" w14:paraId="3B00E25D" w14:textId="77777777">
      <w:pPr>
        <w:spacing w:after="120"/>
        <w:rPr>
          <w:lang w:val="pl-PL"/>
        </w:rPr>
      </w:pPr>
    </w:p>
    <w:bookmarkEnd w:id="0"/>
    <w:p w:rsidRPr="00E02E23" w:rsidR="00F92ABA" w:rsidRDefault="00EA1EA1" w14:paraId="59744501" w14:textId="77777777">
      <w:pPr>
        <w:jc w:val="left"/>
        <w:rPr>
          <w:rFonts w:eastAsia="Adobe Gothic Std B"/>
          <w:b/>
          <w:bCs/>
          <w:color w:val="005DA4"/>
          <w:kern w:val="32"/>
          <w:sz w:val="32"/>
          <w:szCs w:val="32"/>
        </w:rPr>
      </w:pPr>
      <w:proofErr w:type="spellStart"/>
      <w:r w:rsidRPr="00E02E23">
        <w:t>Wojciech</w:t>
      </w:r>
      <w:proofErr w:type="spellEnd"/>
      <w:r w:rsidRPr="00E02E23">
        <w:t xml:space="preserve"> </w:t>
      </w:r>
      <w:proofErr w:type="spellStart"/>
      <w:r w:rsidRPr="00E02E23">
        <w:t>Rafał</w:t>
      </w:r>
      <w:proofErr w:type="spellEnd"/>
      <w:r w:rsidRPr="00E02E23">
        <w:t xml:space="preserve"> WIEWIÓROWSKI </w:t>
      </w:r>
      <w:r w:rsidRPr="00E02E23">
        <w:br w:type="page"/>
      </w:r>
    </w:p>
    <w:p w:rsidRPr="00E02E23" w:rsidR="00F92ABA" w:rsidP="00F92ABA" w:rsidRDefault="00F92ABA" w14:paraId="5C88152C" w14:textId="77777777">
      <w:pPr>
        <w:pStyle w:val="Heading1"/>
        <w:numPr>
          <w:ilvl w:val="0"/>
          <w:numId w:val="0"/>
        </w:numPr>
        <w:rPr>
          <w:sz w:val="32"/>
          <w:szCs w:val="32"/>
        </w:rPr>
      </w:pPr>
      <w:bookmarkStart w:name="_Toc435701394" w:id="3"/>
      <w:bookmarkStart w:name="_Toc22124204" w:id="4"/>
      <w:r w:rsidRPr="00E02E23">
        <w:rPr>
          <w:sz w:val="32"/>
          <w:szCs w:val="32"/>
        </w:rPr>
        <w:lastRenderedPageBreak/>
        <w:t>Loppuviitteet</w:t>
      </w:r>
      <w:bookmarkEnd w:id="3"/>
      <w:bookmarkEnd w:id="4"/>
    </w:p>
    <w:sectPr w:rsidRPr="00E02E23" w:rsidR="00F92ABA" w:rsidSect="00D065E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40" w:right="1440" w:bottom="1560" w:left="1440" w:header="709" w:footer="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54DFC" w14:textId="77777777" w:rsidR="008F19A0" w:rsidRDefault="008F19A0" w:rsidP="00EE2109">
      <w:r>
        <w:separator/>
      </w:r>
    </w:p>
  </w:endnote>
  <w:endnote w:type="continuationSeparator" w:id="0">
    <w:p w14:paraId="3C335109" w14:textId="77777777" w:rsidR="008F19A0" w:rsidRDefault="008F19A0" w:rsidP="00EE2109">
      <w:r>
        <w:continuationSeparator/>
      </w:r>
    </w:p>
  </w:endnote>
  <w:endnote w:id="1">
    <w:p w14:paraId="2023D359" w14:textId="77777777" w:rsidR="002B4019" w:rsidRPr="00E02E23" w:rsidRDefault="002B4019" w:rsidP="00617099">
      <w:pPr>
        <w:pStyle w:val="Style1"/>
      </w:pPr>
      <w:r w:rsidRPr="00E02E23">
        <w:rPr>
          <w:rStyle w:val="EndnoteReference"/>
        </w:rPr>
        <w:endnoteRef/>
      </w:r>
      <w:r w:rsidRPr="00E02E23">
        <w:t xml:space="preserve"> EUVL L 186, 14.7.2012, s. 4–16.</w:t>
      </w:r>
    </w:p>
  </w:endnote>
  <w:endnote w:id="2">
    <w:p w14:paraId="196FCF4E" w14:textId="77777777" w:rsidR="002B4019" w:rsidRPr="00E02E23" w:rsidRDefault="002B4019" w:rsidP="00617099">
      <w:pPr>
        <w:pStyle w:val="Style1"/>
      </w:pPr>
      <w:r w:rsidRPr="00E02E23">
        <w:rPr>
          <w:rStyle w:val="EndnoteReference"/>
        </w:rPr>
        <w:endnoteRef/>
      </w:r>
      <w:r w:rsidRPr="00E02E23">
        <w:t xml:space="preserve"> EUVL L 215, 11.8.2012, s. 5–14.</w:t>
      </w:r>
    </w:p>
  </w:endnote>
  <w:endnote w:id="3">
    <w:p w14:paraId="7170B23C" w14:textId="497E06AD" w:rsidR="002B4019" w:rsidRPr="00E02E23" w:rsidRDefault="002B4019" w:rsidP="00617099">
      <w:pPr>
        <w:pStyle w:val="Style1"/>
      </w:pPr>
      <w:r w:rsidRPr="00E02E23">
        <w:rPr>
          <w:rStyle w:val="EndnoteReference"/>
        </w:rPr>
        <w:endnoteRef/>
      </w:r>
      <w:r w:rsidRPr="00E02E23">
        <w:t xml:space="preserve"> Unionin tuomioistuimen lausunto 1/15, annettu SEUT 218 artiklan 11 kohdan nojalla 26 päivänä heinäkuuta 2017, luonnoksesta Kanadan ja EU:n väliseksi PNR-tietojen siirtämistä ja käsittelyä koskevaksi sopimukseksi, ECLI:EU:C:2017:592.</w:t>
      </w:r>
    </w:p>
  </w:endnote>
  <w:endnote w:id="4">
    <w:p w14:paraId="0B728BE8" w14:textId="77777777" w:rsidR="002B4019" w:rsidRPr="00E02E23" w:rsidRDefault="002B4019" w:rsidP="00617099">
      <w:pPr>
        <w:pStyle w:val="Style1"/>
      </w:pPr>
      <w:r w:rsidRPr="00E02E23">
        <w:rPr>
          <w:rStyle w:val="EndnoteReference"/>
        </w:rPr>
        <w:endnoteRef/>
      </w:r>
      <w:r w:rsidRPr="00E02E23">
        <w:t xml:space="preserve"> ICAO, Doc 9944 </w:t>
      </w:r>
      <w:proofErr w:type="spellStart"/>
      <w:r w:rsidRPr="00E02E23">
        <w:t>Guidelines</w:t>
      </w:r>
      <w:proofErr w:type="spellEnd"/>
      <w:r w:rsidRPr="00E02E23">
        <w:t xml:space="preserve"> on </w:t>
      </w:r>
      <w:proofErr w:type="spellStart"/>
      <w:r w:rsidRPr="00E02E23">
        <w:t>Passenger</w:t>
      </w:r>
      <w:proofErr w:type="spellEnd"/>
      <w:r w:rsidRPr="00E02E23">
        <w:t xml:space="preserve"> </w:t>
      </w:r>
      <w:proofErr w:type="spellStart"/>
      <w:r w:rsidRPr="00E02E23">
        <w:t>Name</w:t>
      </w:r>
      <w:proofErr w:type="spellEnd"/>
      <w:r w:rsidRPr="00E02E23">
        <w:t xml:space="preserve"> </w:t>
      </w:r>
      <w:proofErr w:type="spellStart"/>
      <w:r w:rsidRPr="00E02E23">
        <w:t>Record</w:t>
      </w:r>
      <w:proofErr w:type="spellEnd"/>
      <w:r w:rsidRPr="00E02E23">
        <w:t xml:space="preserve"> (PNR) Data, </w:t>
      </w:r>
      <w:proofErr w:type="spellStart"/>
      <w:r w:rsidRPr="00E02E23">
        <w:t>First</w:t>
      </w:r>
      <w:proofErr w:type="spellEnd"/>
      <w:r w:rsidRPr="00E02E23">
        <w:t xml:space="preserve"> Edition – 2010.</w:t>
      </w:r>
    </w:p>
  </w:endnote>
  <w:endnote w:id="5">
    <w:p w14:paraId="446DEA2B" w14:textId="77777777" w:rsidR="002B4019" w:rsidRPr="00E02E23" w:rsidRDefault="002B4019" w:rsidP="00617099">
      <w:pPr>
        <w:pStyle w:val="Style1"/>
      </w:pPr>
      <w:r w:rsidRPr="00E02E23">
        <w:rPr>
          <w:rStyle w:val="EndnoteReference"/>
        </w:rPr>
        <w:endnoteRef/>
      </w:r>
      <w:r w:rsidRPr="00E02E23">
        <w:t xml:space="preserve"> Palaavien terrorismiin syyllistyneiden vierastaistelijoiden aiheuttamista uhista kansainväliselle rauhalle ja turvallisuudelle annettu turvallisuusneuvoston päätöslauselma 2396 (2017), jonka turvallisuusneuvosto hyväksyi 8148. istunnossaan 21. joulukuuta 2017, 12 kohta.</w:t>
      </w:r>
    </w:p>
  </w:endnote>
  <w:endnote w:id="6">
    <w:p w14:paraId="34AF0F9E" w14:textId="2CABBBAA" w:rsidR="000C2F0E" w:rsidRPr="00E02E23" w:rsidRDefault="000C2F0E" w:rsidP="00617099">
      <w:pPr>
        <w:pStyle w:val="Style1"/>
      </w:pPr>
      <w:r w:rsidRPr="00E02E23">
        <w:rPr>
          <w:rStyle w:val="EndnoteReference"/>
        </w:rPr>
        <w:endnoteRef/>
      </w:r>
      <w:r w:rsidRPr="00E02E23">
        <w:t xml:space="preserve"> Katso Euroopan tietosuojavaltuutetun lausunto 2/2019, joka koskee luvan antamista neuvotella Euroopan unionin ja Yhdysvaltojen välisestä sähköisen todistusaineiston </w:t>
      </w:r>
      <w:proofErr w:type="spellStart"/>
      <w:r w:rsidRPr="00E02E23">
        <w:t>rajatylittävää</w:t>
      </w:r>
      <w:proofErr w:type="spellEnd"/>
      <w:r w:rsidRPr="00E02E23">
        <w:t xml:space="preserve"> saatavuutta koskevasta sopimuksesta, ja Euroopan tietosuojavaltuutetun lausunto 3/2019, joka koskee osallistumista tietoverkkorikollisuuteen liittyvän Budapestin yleissopimuksen toisesta lisäpöytäkirjasta käytäviin neuvotteluihin. Lausunnot ovat saatavilla seuraavista osoitteista: </w:t>
      </w:r>
      <w:hyperlink r:id="rId1" w:history="1">
        <w:r w:rsidRPr="00E02E23">
          <w:rPr>
            <w:rStyle w:val="Hyperlink"/>
          </w:rPr>
          <w:t>https://edps.europa.eu/sites/edp/files/publication/19-04-02_edps_opinion_on_eu_us_agreement_on_e-evidence_en.pdf</w:t>
        </w:r>
      </w:hyperlink>
      <w:r w:rsidRPr="00E02E23">
        <w:t xml:space="preserve"> ja</w:t>
      </w:r>
    </w:p>
    <w:p w14:paraId="3AF6EE40" w14:textId="6C21E2F5" w:rsidR="000C2F0E" w:rsidRPr="00E02E23" w:rsidRDefault="008F19A0" w:rsidP="009600CE">
      <w:pPr>
        <w:pStyle w:val="EndnoteText"/>
        <w:jc w:val="both"/>
        <w:rPr>
          <w:rFonts w:ascii="Times New Roman" w:hAnsi="Times New Roman"/>
        </w:rPr>
      </w:pPr>
      <w:hyperlink r:id="rId2" w:history="1">
        <w:r w:rsidR="00B11FC2" w:rsidRPr="00E02E23">
          <w:rPr>
            <w:rStyle w:val="Hyperlink"/>
            <w:rFonts w:ascii="Times New Roman" w:hAnsi="Times New Roman"/>
          </w:rPr>
          <w:t>https://edps.europa.eu/sites/edp/files/publication/19-04-02_edps_opinion_budapest_conventi</w:t>
        </w:r>
        <w:bookmarkStart w:id="2" w:name="_GoBack"/>
        <w:bookmarkEnd w:id="2"/>
        <w:r w:rsidR="00B11FC2" w:rsidRPr="00E02E23">
          <w:rPr>
            <w:rStyle w:val="Hyperlink"/>
            <w:rFonts w:ascii="Times New Roman" w:hAnsi="Times New Roman"/>
          </w:rPr>
          <w:t>on_en.pdf</w:t>
        </w:r>
      </w:hyperlink>
      <w:r w:rsidR="00B11FC2" w:rsidRPr="00E02E23">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02E23" w:rsidR="00E02E23" w:rsidRDefault="00E02E23" w14:paraId="662C35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02E23" w:rsidR="00621B53" w:rsidP="00D065E1" w:rsidRDefault="00621B53" w14:paraId="703AAF17" w14:textId="2137951D">
    <w:pPr>
      <w:pStyle w:val="Footer"/>
      <w:pBdr>
        <w:top w:val="single" w:color="D9D9D9" w:themeColor="background1" w:themeShade="D9" w:sz="4" w:space="1"/>
      </w:pBdr>
      <w:jc w:val="right"/>
      <w:rPr>
        <w:color w:val="808080" w:themeColor="background1" w:themeShade="80"/>
        <w:spacing w:val="60"/>
      </w:rPr>
    </w:pPr>
  </w:p>
  <w:p w:rsidRPr="00E02E23" w:rsidR="00621B53" w:rsidRDefault="00621B53" w14:paraId="165BF6E0" w14:textId="77777777">
    <w:pPr>
      <w:pStyle w:val="Footer"/>
    </w:pPr>
  </w:p>
  <w:p w:rsidRPr="00E02E23" w:rsidR="00621B53" w:rsidRDefault="00621B53" w14:paraId="611AAA0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02E23" w:rsidR="00621B53" w:rsidP="00076A31" w:rsidRDefault="00621B53" w14:paraId="5B07118A" w14:textId="0951BA98">
    <w:pPr>
      <w:pStyle w:val="Footer"/>
      <w:pBdr>
        <w:top w:val="single" w:color="D9D9D9" w:themeColor="background1" w:themeShade="D9" w:sz="4" w:space="1"/>
      </w:pBdr>
      <w:jc w:val="right"/>
    </w:pPr>
  </w:p>
  <w:p w:rsidRPr="00E02E23" w:rsidR="00621B53" w:rsidRDefault="00621B53" w14:paraId="3938CD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861DB" w14:textId="77777777" w:rsidR="008F19A0" w:rsidRDefault="008F19A0" w:rsidP="00EE2109">
      <w:r>
        <w:separator/>
      </w:r>
    </w:p>
  </w:footnote>
  <w:footnote w:type="continuationSeparator" w:id="0">
    <w:p w14:paraId="2C68948F" w14:textId="77777777" w:rsidR="008F19A0" w:rsidRDefault="008F19A0" w:rsidP="00EE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02E23" w:rsidR="00E02E23" w:rsidRDefault="00E02E23" w14:paraId="512F7DC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02E23" w:rsidR="00E02E23" w:rsidRDefault="00E02E23" w14:paraId="6A51906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02E23" w:rsidR="00E02E23" w:rsidRDefault="00E02E23" w14:paraId="0A4540C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023"/>
    <w:multiLevelType w:val="hybridMultilevel"/>
    <w:tmpl w:val="6922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7678C"/>
    <w:multiLevelType w:val="hybridMultilevel"/>
    <w:tmpl w:val="5F1AC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57DC6"/>
    <w:multiLevelType w:val="hybridMultilevel"/>
    <w:tmpl w:val="D3143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14BA7"/>
    <w:multiLevelType w:val="hybridMultilevel"/>
    <w:tmpl w:val="0D9C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03E86"/>
    <w:multiLevelType w:val="hybridMultilevel"/>
    <w:tmpl w:val="7730076E"/>
    <w:lvl w:ilvl="0" w:tplc="69901E1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1D475B"/>
    <w:multiLevelType w:val="multilevel"/>
    <w:tmpl w:val="77E28552"/>
    <w:lvl w:ilvl="0">
      <w:start w:val="1"/>
      <w:numFmt w:val="upperRoman"/>
      <w:pStyle w:val="Heading1"/>
      <w:lvlText w:val="%1."/>
      <w:lvlJc w:val="righ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B275B65"/>
    <w:multiLevelType w:val="hybridMultilevel"/>
    <w:tmpl w:val="DCF0A260"/>
    <w:lvl w:ilvl="0" w:tplc="D4C07C6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D0C23"/>
    <w:multiLevelType w:val="hybridMultilevel"/>
    <w:tmpl w:val="9FB09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9341A1"/>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253F116B"/>
    <w:multiLevelType w:val="hybridMultilevel"/>
    <w:tmpl w:val="3118F048"/>
    <w:lvl w:ilvl="0" w:tplc="04DA5B04">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8120D3"/>
    <w:multiLevelType w:val="hybridMultilevel"/>
    <w:tmpl w:val="FA121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F718A5"/>
    <w:multiLevelType w:val="hybridMultilevel"/>
    <w:tmpl w:val="592C5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31C58"/>
    <w:multiLevelType w:val="hybridMultilevel"/>
    <w:tmpl w:val="386A81F8"/>
    <w:lvl w:ilvl="0" w:tplc="3F842DE8">
      <w:start w:val="34"/>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373CD6"/>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48801F24"/>
    <w:multiLevelType w:val="multilevel"/>
    <w:tmpl w:val="E58E186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97302CE"/>
    <w:multiLevelType w:val="multilevel"/>
    <w:tmpl w:val="6B923C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FDE3765"/>
    <w:multiLevelType w:val="hybridMultilevel"/>
    <w:tmpl w:val="B974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E4EB4"/>
    <w:multiLevelType w:val="hybridMultilevel"/>
    <w:tmpl w:val="4E78AF06"/>
    <w:lvl w:ilvl="0" w:tplc="E5BE34B0">
      <w:start w:val="1"/>
      <w:numFmt w:val="decimal"/>
      <w:lvlText w:val="%1."/>
      <w:lvlJc w:val="left"/>
      <w:pPr>
        <w:tabs>
          <w:tab w:val="num" w:pos="360"/>
        </w:tabs>
        <w:ind w:left="360" w:hanging="360"/>
      </w:pPr>
      <w:rPr>
        <w:i w:val="0"/>
        <w:sz w:val="24"/>
        <w:lang w:val="en-GB"/>
      </w:rPr>
    </w:lvl>
    <w:lvl w:ilvl="1" w:tplc="08090001">
      <w:start w:val="1"/>
      <w:numFmt w:val="bullet"/>
      <w:lvlText w:val=""/>
      <w:lvlJc w:val="left"/>
      <w:pPr>
        <w:tabs>
          <w:tab w:val="num" w:pos="1418"/>
        </w:tabs>
        <w:ind w:left="1418" w:hanging="360"/>
      </w:pPr>
      <w:rPr>
        <w:rFonts w:ascii="Symbol" w:hAnsi="Symbol" w:hint="default"/>
        <w:b w:val="0"/>
        <w:i w:val="0"/>
        <w:vertAlign w:val="baseline"/>
      </w:rPr>
    </w:lvl>
    <w:lvl w:ilvl="2" w:tplc="67743F40">
      <w:start w:val="1"/>
      <w:numFmt w:val="lowerLetter"/>
      <w:lvlText w:val="(%3)"/>
      <w:lvlJc w:val="left"/>
      <w:pPr>
        <w:ind w:left="2318" w:hanging="360"/>
      </w:pPr>
      <w:rPr>
        <w:rFonts w:hint="default"/>
      </w:rPr>
    </w:lvl>
    <w:lvl w:ilvl="3" w:tplc="0809000F">
      <w:start w:val="1"/>
      <w:numFmt w:val="decimal"/>
      <w:lvlText w:val="%4."/>
      <w:lvlJc w:val="left"/>
      <w:pPr>
        <w:tabs>
          <w:tab w:val="num" w:pos="2858"/>
        </w:tabs>
        <w:ind w:left="2858" w:hanging="360"/>
      </w:pPr>
      <w:rPr>
        <w:b w:val="0"/>
        <w:i w:val="0"/>
        <w:vertAlign w:val="baseline"/>
      </w:rPr>
    </w:lvl>
    <w:lvl w:ilvl="4" w:tplc="08090019" w:tentative="1">
      <w:start w:val="1"/>
      <w:numFmt w:val="lowerLetter"/>
      <w:lvlText w:val="%5."/>
      <w:lvlJc w:val="left"/>
      <w:pPr>
        <w:tabs>
          <w:tab w:val="num" w:pos="3578"/>
        </w:tabs>
        <w:ind w:left="3578" w:hanging="360"/>
      </w:pPr>
    </w:lvl>
    <w:lvl w:ilvl="5" w:tplc="0809001B" w:tentative="1">
      <w:start w:val="1"/>
      <w:numFmt w:val="lowerRoman"/>
      <w:lvlText w:val="%6."/>
      <w:lvlJc w:val="right"/>
      <w:pPr>
        <w:tabs>
          <w:tab w:val="num" w:pos="4298"/>
        </w:tabs>
        <w:ind w:left="4298" w:hanging="180"/>
      </w:pPr>
    </w:lvl>
    <w:lvl w:ilvl="6" w:tplc="0809000F" w:tentative="1">
      <w:start w:val="1"/>
      <w:numFmt w:val="decimal"/>
      <w:lvlText w:val="%7."/>
      <w:lvlJc w:val="left"/>
      <w:pPr>
        <w:tabs>
          <w:tab w:val="num" w:pos="5018"/>
        </w:tabs>
        <w:ind w:left="5018" w:hanging="360"/>
      </w:pPr>
    </w:lvl>
    <w:lvl w:ilvl="7" w:tplc="08090019" w:tentative="1">
      <w:start w:val="1"/>
      <w:numFmt w:val="lowerLetter"/>
      <w:lvlText w:val="%8."/>
      <w:lvlJc w:val="left"/>
      <w:pPr>
        <w:tabs>
          <w:tab w:val="num" w:pos="5738"/>
        </w:tabs>
        <w:ind w:left="5738" w:hanging="360"/>
      </w:pPr>
    </w:lvl>
    <w:lvl w:ilvl="8" w:tplc="0809001B" w:tentative="1">
      <w:start w:val="1"/>
      <w:numFmt w:val="lowerRoman"/>
      <w:lvlText w:val="%9."/>
      <w:lvlJc w:val="right"/>
      <w:pPr>
        <w:tabs>
          <w:tab w:val="num" w:pos="6458"/>
        </w:tabs>
        <w:ind w:left="6458" w:hanging="180"/>
      </w:pPr>
    </w:lvl>
  </w:abstractNum>
  <w:abstractNum w:abstractNumId="18" w15:restartNumberingAfterBreak="0">
    <w:nsid w:val="5A7A33BB"/>
    <w:multiLevelType w:val="hybridMultilevel"/>
    <w:tmpl w:val="8E40BBA8"/>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9" w15:restartNumberingAfterBreak="0">
    <w:nsid w:val="655D5A3A"/>
    <w:multiLevelType w:val="hybridMultilevel"/>
    <w:tmpl w:val="569A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2923DF"/>
    <w:multiLevelType w:val="hybridMultilevel"/>
    <w:tmpl w:val="B53C6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DA1E10"/>
    <w:multiLevelType w:val="hybridMultilevel"/>
    <w:tmpl w:val="870AED6E"/>
    <w:lvl w:ilvl="0" w:tplc="5822818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07784"/>
    <w:multiLevelType w:val="multilevel"/>
    <w:tmpl w:val="373A0644"/>
    <w:lvl w:ilvl="0">
      <w:start w:val="5"/>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72074AA4"/>
    <w:multiLevelType w:val="hybridMultilevel"/>
    <w:tmpl w:val="6A327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353848"/>
    <w:multiLevelType w:val="hybridMultilevel"/>
    <w:tmpl w:val="A1826D14"/>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num w:numId="1">
    <w:abstractNumId w:val="5"/>
  </w:num>
  <w:num w:numId="2">
    <w:abstractNumId w:val="8"/>
  </w:num>
  <w:num w:numId="3">
    <w:abstractNumId w:val="15"/>
  </w:num>
  <w:num w:numId="4">
    <w:abstractNumId w:val="21"/>
  </w:num>
  <w:num w:numId="5">
    <w:abstractNumId w:val="14"/>
  </w:num>
  <w:num w:numId="6">
    <w:abstractNumId w:val="16"/>
  </w:num>
  <w:num w:numId="7">
    <w:abstractNumId w:val="19"/>
  </w:num>
  <w:num w:numId="8">
    <w:abstractNumId w:val="6"/>
  </w:num>
  <w:num w:numId="9">
    <w:abstractNumId w:val="17"/>
  </w:num>
  <w:num w:numId="10">
    <w:abstractNumId w:val="3"/>
  </w:num>
  <w:num w:numId="11">
    <w:abstractNumId w:val="4"/>
  </w:num>
  <w:num w:numId="12">
    <w:abstractNumId w:val="18"/>
  </w:num>
  <w:num w:numId="13">
    <w:abstractNumId w:val="24"/>
  </w:num>
  <w:num w:numId="14">
    <w:abstractNumId w:val="10"/>
  </w:num>
  <w:num w:numId="15">
    <w:abstractNumId w:val="7"/>
  </w:num>
  <w:num w:numId="16">
    <w:abstractNumId w:val="23"/>
  </w:num>
  <w:num w:numId="17">
    <w:abstractNumId w:val="20"/>
  </w:num>
  <w:num w:numId="18">
    <w:abstractNumId w:val="2"/>
  </w:num>
  <w:num w:numId="19">
    <w:abstractNumId w:val="11"/>
  </w:num>
  <w:num w:numId="20">
    <w:abstractNumId w:val="1"/>
  </w:num>
  <w:num w:numId="21">
    <w:abstractNumId w:val="0"/>
  </w:num>
  <w:num w:numId="22">
    <w:abstractNumId w:val="9"/>
  </w:num>
  <w:num w:numId="23">
    <w:abstractNumId w:val="5"/>
  </w:num>
  <w:num w:numId="24">
    <w:abstractNumId w:val="12"/>
  </w:num>
  <w:num w:numId="25">
    <w:abstractNumId w:val="13"/>
  </w:num>
  <w:num w:numId="2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i-FI" w:vendorID="64" w:dllVersion="131078"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09"/>
    <w:rsid w:val="00001F64"/>
    <w:rsid w:val="00006D28"/>
    <w:rsid w:val="00007024"/>
    <w:rsid w:val="00011CD6"/>
    <w:rsid w:val="00014506"/>
    <w:rsid w:val="000154A5"/>
    <w:rsid w:val="00016ACA"/>
    <w:rsid w:val="00017B0C"/>
    <w:rsid w:val="000229E9"/>
    <w:rsid w:val="00032414"/>
    <w:rsid w:val="00033562"/>
    <w:rsid w:val="00034993"/>
    <w:rsid w:val="0003564C"/>
    <w:rsid w:val="00036309"/>
    <w:rsid w:val="00036BB1"/>
    <w:rsid w:val="00040497"/>
    <w:rsid w:val="00040910"/>
    <w:rsid w:val="00041759"/>
    <w:rsid w:val="000505CB"/>
    <w:rsid w:val="000511C3"/>
    <w:rsid w:val="00051C38"/>
    <w:rsid w:val="000529F8"/>
    <w:rsid w:val="00057664"/>
    <w:rsid w:val="00063045"/>
    <w:rsid w:val="00065A7A"/>
    <w:rsid w:val="00067D0E"/>
    <w:rsid w:val="00074161"/>
    <w:rsid w:val="000752FA"/>
    <w:rsid w:val="000760C6"/>
    <w:rsid w:val="00076A31"/>
    <w:rsid w:val="000805A4"/>
    <w:rsid w:val="000806DF"/>
    <w:rsid w:val="000957ED"/>
    <w:rsid w:val="000966DD"/>
    <w:rsid w:val="000A165C"/>
    <w:rsid w:val="000A1C01"/>
    <w:rsid w:val="000A5BC9"/>
    <w:rsid w:val="000A5E02"/>
    <w:rsid w:val="000A6610"/>
    <w:rsid w:val="000B01C4"/>
    <w:rsid w:val="000B02B4"/>
    <w:rsid w:val="000B23D3"/>
    <w:rsid w:val="000B32B8"/>
    <w:rsid w:val="000B7EC8"/>
    <w:rsid w:val="000C0FCA"/>
    <w:rsid w:val="000C2F0E"/>
    <w:rsid w:val="000C6282"/>
    <w:rsid w:val="000D0219"/>
    <w:rsid w:val="000D22B6"/>
    <w:rsid w:val="000E23D7"/>
    <w:rsid w:val="000E3CED"/>
    <w:rsid w:val="000E427E"/>
    <w:rsid w:val="000E48E9"/>
    <w:rsid w:val="000F00CE"/>
    <w:rsid w:val="000F1F34"/>
    <w:rsid w:val="000F2C34"/>
    <w:rsid w:val="000F33CF"/>
    <w:rsid w:val="000F4438"/>
    <w:rsid w:val="000F548B"/>
    <w:rsid w:val="000F70EB"/>
    <w:rsid w:val="00100578"/>
    <w:rsid w:val="001024A2"/>
    <w:rsid w:val="0010469A"/>
    <w:rsid w:val="00105B54"/>
    <w:rsid w:val="00106ED4"/>
    <w:rsid w:val="001073ED"/>
    <w:rsid w:val="0010766F"/>
    <w:rsid w:val="00107A0A"/>
    <w:rsid w:val="00111EE6"/>
    <w:rsid w:val="00121625"/>
    <w:rsid w:val="001223EB"/>
    <w:rsid w:val="00126176"/>
    <w:rsid w:val="0012671F"/>
    <w:rsid w:val="00131601"/>
    <w:rsid w:val="001328D0"/>
    <w:rsid w:val="001354BE"/>
    <w:rsid w:val="00136B7F"/>
    <w:rsid w:val="0014071B"/>
    <w:rsid w:val="0014656A"/>
    <w:rsid w:val="00146F3B"/>
    <w:rsid w:val="00152B43"/>
    <w:rsid w:val="00152D82"/>
    <w:rsid w:val="00153840"/>
    <w:rsid w:val="00154AC6"/>
    <w:rsid w:val="00163AB9"/>
    <w:rsid w:val="00164E5D"/>
    <w:rsid w:val="001677B4"/>
    <w:rsid w:val="001733C8"/>
    <w:rsid w:val="00173BCD"/>
    <w:rsid w:val="00181448"/>
    <w:rsid w:val="00182BB6"/>
    <w:rsid w:val="001834C6"/>
    <w:rsid w:val="0018626A"/>
    <w:rsid w:val="00186C7E"/>
    <w:rsid w:val="001876A0"/>
    <w:rsid w:val="00194EAB"/>
    <w:rsid w:val="001A0AA3"/>
    <w:rsid w:val="001A3CEF"/>
    <w:rsid w:val="001A73A3"/>
    <w:rsid w:val="001B364E"/>
    <w:rsid w:val="001B5F6B"/>
    <w:rsid w:val="001B5FE0"/>
    <w:rsid w:val="001C0ABC"/>
    <w:rsid w:val="001C393D"/>
    <w:rsid w:val="001C3C58"/>
    <w:rsid w:val="001C770A"/>
    <w:rsid w:val="001D1E3B"/>
    <w:rsid w:val="001D419A"/>
    <w:rsid w:val="001D4BE8"/>
    <w:rsid w:val="001D74A9"/>
    <w:rsid w:val="001D7BD9"/>
    <w:rsid w:val="001E0B04"/>
    <w:rsid w:val="001E2BAD"/>
    <w:rsid w:val="001E4ABE"/>
    <w:rsid w:val="001E6C10"/>
    <w:rsid w:val="001E7C91"/>
    <w:rsid w:val="001F0032"/>
    <w:rsid w:val="001F059A"/>
    <w:rsid w:val="001F110A"/>
    <w:rsid w:val="001F4614"/>
    <w:rsid w:val="001F5488"/>
    <w:rsid w:val="001F61D5"/>
    <w:rsid w:val="001F74BE"/>
    <w:rsid w:val="001F77A1"/>
    <w:rsid w:val="0021216C"/>
    <w:rsid w:val="00213865"/>
    <w:rsid w:val="00213E0C"/>
    <w:rsid w:val="002164BD"/>
    <w:rsid w:val="00232292"/>
    <w:rsid w:val="00236231"/>
    <w:rsid w:val="00237D55"/>
    <w:rsid w:val="00240EE0"/>
    <w:rsid w:val="002421B8"/>
    <w:rsid w:val="00247527"/>
    <w:rsid w:val="00251CAB"/>
    <w:rsid w:val="00252C97"/>
    <w:rsid w:val="002569F6"/>
    <w:rsid w:val="00256DE1"/>
    <w:rsid w:val="002606BE"/>
    <w:rsid w:val="00261A8F"/>
    <w:rsid w:val="0026468E"/>
    <w:rsid w:val="002647CC"/>
    <w:rsid w:val="00270F50"/>
    <w:rsid w:val="002737B5"/>
    <w:rsid w:val="0027595C"/>
    <w:rsid w:val="002810DD"/>
    <w:rsid w:val="00281C4C"/>
    <w:rsid w:val="0028321A"/>
    <w:rsid w:val="00284E13"/>
    <w:rsid w:val="00285A96"/>
    <w:rsid w:val="002A7A52"/>
    <w:rsid w:val="002B0ED1"/>
    <w:rsid w:val="002B221E"/>
    <w:rsid w:val="002B2257"/>
    <w:rsid w:val="002B3379"/>
    <w:rsid w:val="002B4019"/>
    <w:rsid w:val="002B40DA"/>
    <w:rsid w:val="002C2A74"/>
    <w:rsid w:val="002D33E6"/>
    <w:rsid w:val="002D4295"/>
    <w:rsid w:val="002E69B2"/>
    <w:rsid w:val="002F40D6"/>
    <w:rsid w:val="002F4E34"/>
    <w:rsid w:val="00300BDF"/>
    <w:rsid w:val="00303072"/>
    <w:rsid w:val="003030A8"/>
    <w:rsid w:val="00306297"/>
    <w:rsid w:val="0030787A"/>
    <w:rsid w:val="00312B76"/>
    <w:rsid w:val="003142BB"/>
    <w:rsid w:val="00314EED"/>
    <w:rsid w:val="003150B1"/>
    <w:rsid w:val="003257A1"/>
    <w:rsid w:val="00331A79"/>
    <w:rsid w:val="00332C7F"/>
    <w:rsid w:val="003335B0"/>
    <w:rsid w:val="00342B32"/>
    <w:rsid w:val="00343B76"/>
    <w:rsid w:val="0035019C"/>
    <w:rsid w:val="0035115D"/>
    <w:rsid w:val="00351B87"/>
    <w:rsid w:val="003661D2"/>
    <w:rsid w:val="00367F83"/>
    <w:rsid w:val="003711E5"/>
    <w:rsid w:val="0038457D"/>
    <w:rsid w:val="00386B21"/>
    <w:rsid w:val="003901D2"/>
    <w:rsid w:val="003920FA"/>
    <w:rsid w:val="0039252B"/>
    <w:rsid w:val="0039712A"/>
    <w:rsid w:val="00397D2C"/>
    <w:rsid w:val="003A2895"/>
    <w:rsid w:val="003A2BB9"/>
    <w:rsid w:val="003A7EB0"/>
    <w:rsid w:val="003B3524"/>
    <w:rsid w:val="003B3F22"/>
    <w:rsid w:val="003B66D9"/>
    <w:rsid w:val="003B6E66"/>
    <w:rsid w:val="003B7A97"/>
    <w:rsid w:val="003C0656"/>
    <w:rsid w:val="003C0731"/>
    <w:rsid w:val="003C1BE3"/>
    <w:rsid w:val="003C35D5"/>
    <w:rsid w:val="003C42E0"/>
    <w:rsid w:val="003C4596"/>
    <w:rsid w:val="003C4970"/>
    <w:rsid w:val="003C7335"/>
    <w:rsid w:val="003D15C6"/>
    <w:rsid w:val="003D347C"/>
    <w:rsid w:val="003D4107"/>
    <w:rsid w:val="003D5187"/>
    <w:rsid w:val="003E068E"/>
    <w:rsid w:val="003F2070"/>
    <w:rsid w:val="003F5FA4"/>
    <w:rsid w:val="00402059"/>
    <w:rsid w:val="004021BC"/>
    <w:rsid w:val="00402B9B"/>
    <w:rsid w:val="00410938"/>
    <w:rsid w:val="00414981"/>
    <w:rsid w:val="00415899"/>
    <w:rsid w:val="00417A3B"/>
    <w:rsid w:val="00420708"/>
    <w:rsid w:val="00421439"/>
    <w:rsid w:val="004214DA"/>
    <w:rsid w:val="00426524"/>
    <w:rsid w:val="00433F9B"/>
    <w:rsid w:val="00443651"/>
    <w:rsid w:val="0044551F"/>
    <w:rsid w:val="00446002"/>
    <w:rsid w:val="00451CDE"/>
    <w:rsid w:val="004529D5"/>
    <w:rsid w:val="00456876"/>
    <w:rsid w:val="0046171E"/>
    <w:rsid w:val="004632FE"/>
    <w:rsid w:val="00470059"/>
    <w:rsid w:val="00470946"/>
    <w:rsid w:val="004727D2"/>
    <w:rsid w:val="00473A52"/>
    <w:rsid w:val="00473E28"/>
    <w:rsid w:val="004742DB"/>
    <w:rsid w:val="00483118"/>
    <w:rsid w:val="00486545"/>
    <w:rsid w:val="00486C67"/>
    <w:rsid w:val="00491D61"/>
    <w:rsid w:val="00491ECE"/>
    <w:rsid w:val="004936DE"/>
    <w:rsid w:val="004947E1"/>
    <w:rsid w:val="00494B4A"/>
    <w:rsid w:val="00495FFC"/>
    <w:rsid w:val="004A4129"/>
    <w:rsid w:val="004B2750"/>
    <w:rsid w:val="004B4F3D"/>
    <w:rsid w:val="004B6B12"/>
    <w:rsid w:val="004C0607"/>
    <w:rsid w:val="004C1A8D"/>
    <w:rsid w:val="004C2089"/>
    <w:rsid w:val="004C29E4"/>
    <w:rsid w:val="004C7EBE"/>
    <w:rsid w:val="004D0167"/>
    <w:rsid w:val="004D2021"/>
    <w:rsid w:val="004D4A20"/>
    <w:rsid w:val="004E19BF"/>
    <w:rsid w:val="004F1916"/>
    <w:rsid w:val="004F1DCB"/>
    <w:rsid w:val="004F1F68"/>
    <w:rsid w:val="004F25FC"/>
    <w:rsid w:val="004F3850"/>
    <w:rsid w:val="004F38B9"/>
    <w:rsid w:val="004F39CC"/>
    <w:rsid w:val="004F4409"/>
    <w:rsid w:val="004F65A4"/>
    <w:rsid w:val="004F6920"/>
    <w:rsid w:val="00501BF1"/>
    <w:rsid w:val="005035D0"/>
    <w:rsid w:val="00503F3B"/>
    <w:rsid w:val="005053C8"/>
    <w:rsid w:val="00505AA4"/>
    <w:rsid w:val="00506106"/>
    <w:rsid w:val="00511F4F"/>
    <w:rsid w:val="0051238B"/>
    <w:rsid w:val="005147A1"/>
    <w:rsid w:val="0052195B"/>
    <w:rsid w:val="00521AFE"/>
    <w:rsid w:val="0052422B"/>
    <w:rsid w:val="00524AF0"/>
    <w:rsid w:val="005259B6"/>
    <w:rsid w:val="005261B3"/>
    <w:rsid w:val="005306E1"/>
    <w:rsid w:val="00540195"/>
    <w:rsid w:val="005443D6"/>
    <w:rsid w:val="00544C56"/>
    <w:rsid w:val="00547461"/>
    <w:rsid w:val="00547E04"/>
    <w:rsid w:val="00555746"/>
    <w:rsid w:val="005612BE"/>
    <w:rsid w:val="00562F3E"/>
    <w:rsid w:val="00567A57"/>
    <w:rsid w:val="00571068"/>
    <w:rsid w:val="005722ED"/>
    <w:rsid w:val="00572785"/>
    <w:rsid w:val="005759BF"/>
    <w:rsid w:val="00580A2E"/>
    <w:rsid w:val="005850A4"/>
    <w:rsid w:val="00586208"/>
    <w:rsid w:val="005864CD"/>
    <w:rsid w:val="00590C34"/>
    <w:rsid w:val="0059330F"/>
    <w:rsid w:val="00593D21"/>
    <w:rsid w:val="00593E8D"/>
    <w:rsid w:val="005947D2"/>
    <w:rsid w:val="00595DA7"/>
    <w:rsid w:val="005A51D4"/>
    <w:rsid w:val="005A7CA9"/>
    <w:rsid w:val="005B26A2"/>
    <w:rsid w:val="005B36C4"/>
    <w:rsid w:val="005B3D89"/>
    <w:rsid w:val="005B4B62"/>
    <w:rsid w:val="005B6491"/>
    <w:rsid w:val="005B7E87"/>
    <w:rsid w:val="005C422E"/>
    <w:rsid w:val="005D3A0E"/>
    <w:rsid w:val="005D45BC"/>
    <w:rsid w:val="005E39C6"/>
    <w:rsid w:val="005E3FDC"/>
    <w:rsid w:val="005E54A4"/>
    <w:rsid w:val="005E5F56"/>
    <w:rsid w:val="005F05E7"/>
    <w:rsid w:val="005F637D"/>
    <w:rsid w:val="00600E2E"/>
    <w:rsid w:val="006019FB"/>
    <w:rsid w:val="006031EC"/>
    <w:rsid w:val="00606623"/>
    <w:rsid w:val="00612229"/>
    <w:rsid w:val="006130E4"/>
    <w:rsid w:val="00617099"/>
    <w:rsid w:val="00621B53"/>
    <w:rsid w:val="00622611"/>
    <w:rsid w:val="00624704"/>
    <w:rsid w:val="006252F5"/>
    <w:rsid w:val="0063369E"/>
    <w:rsid w:val="00637697"/>
    <w:rsid w:val="006405EF"/>
    <w:rsid w:val="0064285B"/>
    <w:rsid w:val="00644C8C"/>
    <w:rsid w:val="006478F4"/>
    <w:rsid w:val="00650DB1"/>
    <w:rsid w:val="006541B0"/>
    <w:rsid w:val="00655FB4"/>
    <w:rsid w:val="006578F4"/>
    <w:rsid w:val="006630C6"/>
    <w:rsid w:val="00667D2B"/>
    <w:rsid w:val="0067008E"/>
    <w:rsid w:val="006705A2"/>
    <w:rsid w:val="00671181"/>
    <w:rsid w:val="0067375B"/>
    <w:rsid w:val="00673C00"/>
    <w:rsid w:val="0067579E"/>
    <w:rsid w:val="00676D92"/>
    <w:rsid w:val="00683165"/>
    <w:rsid w:val="00696030"/>
    <w:rsid w:val="006A20B1"/>
    <w:rsid w:val="006A5785"/>
    <w:rsid w:val="006A7D96"/>
    <w:rsid w:val="006B6B5D"/>
    <w:rsid w:val="006C45DB"/>
    <w:rsid w:val="006D1D22"/>
    <w:rsid w:val="006D1DB4"/>
    <w:rsid w:val="006D281A"/>
    <w:rsid w:val="006E1287"/>
    <w:rsid w:val="006F5510"/>
    <w:rsid w:val="006F591F"/>
    <w:rsid w:val="0070059F"/>
    <w:rsid w:val="00713A4E"/>
    <w:rsid w:val="00714F61"/>
    <w:rsid w:val="0071743D"/>
    <w:rsid w:val="007216B9"/>
    <w:rsid w:val="00722E03"/>
    <w:rsid w:val="00723810"/>
    <w:rsid w:val="00730CA6"/>
    <w:rsid w:val="00732059"/>
    <w:rsid w:val="00732C03"/>
    <w:rsid w:val="007350BE"/>
    <w:rsid w:val="007352FC"/>
    <w:rsid w:val="007353E7"/>
    <w:rsid w:val="0074083E"/>
    <w:rsid w:val="00740C6E"/>
    <w:rsid w:val="00743463"/>
    <w:rsid w:val="00747784"/>
    <w:rsid w:val="007503E3"/>
    <w:rsid w:val="00750DE9"/>
    <w:rsid w:val="00755430"/>
    <w:rsid w:val="00762CBC"/>
    <w:rsid w:val="00766663"/>
    <w:rsid w:val="00771EFC"/>
    <w:rsid w:val="00774120"/>
    <w:rsid w:val="00776054"/>
    <w:rsid w:val="0078222A"/>
    <w:rsid w:val="00787776"/>
    <w:rsid w:val="007906A4"/>
    <w:rsid w:val="007956DA"/>
    <w:rsid w:val="00795CBD"/>
    <w:rsid w:val="007A212E"/>
    <w:rsid w:val="007A684B"/>
    <w:rsid w:val="007B1880"/>
    <w:rsid w:val="007B1A02"/>
    <w:rsid w:val="007B6B42"/>
    <w:rsid w:val="007B795B"/>
    <w:rsid w:val="007C14A0"/>
    <w:rsid w:val="007C204E"/>
    <w:rsid w:val="007C2E57"/>
    <w:rsid w:val="007C45FE"/>
    <w:rsid w:val="007D02F8"/>
    <w:rsid w:val="007D0E0F"/>
    <w:rsid w:val="007D5E73"/>
    <w:rsid w:val="007D7060"/>
    <w:rsid w:val="007E30F8"/>
    <w:rsid w:val="007E39B3"/>
    <w:rsid w:val="007F078C"/>
    <w:rsid w:val="007F3AFE"/>
    <w:rsid w:val="007F4815"/>
    <w:rsid w:val="007F5893"/>
    <w:rsid w:val="007F77AF"/>
    <w:rsid w:val="0080089F"/>
    <w:rsid w:val="00806409"/>
    <w:rsid w:val="00807D35"/>
    <w:rsid w:val="00813800"/>
    <w:rsid w:val="008161E2"/>
    <w:rsid w:val="0082019A"/>
    <w:rsid w:val="00823236"/>
    <w:rsid w:val="008360B8"/>
    <w:rsid w:val="0084317F"/>
    <w:rsid w:val="0084692C"/>
    <w:rsid w:val="00855BB9"/>
    <w:rsid w:val="00861A2D"/>
    <w:rsid w:val="00862AB0"/>
    <w:rsid w:val="0086329A"/>
    <w:rsid w:val="008704C7"/>
    <w:rsid w:val="00872808"/>
    <w:rsid w:val="00873C73"/>
    <w:rsid w:val="00875B0B"/>
    <w:rsid w:val="00875FA8"/>
    <w:rsid w:val="00877C95"/>
    <w:rsid w:val="008807F7"/>
    <w:rsid w:val="00893DEB"/>
    <w:rsid w:val="00895F51"/>
    <w:rsid w:val="00897398"/>
    <w:rsid w:val="008A47EC"/>
    <w:rsid w:val="008B2088"/>
    <w:rsid w:val="008B2B00"/>
    <w:rsid w:val="008B2D33"/>
    <w:rsid w:val="008B47C3"/>
    <w:rsid w:val="008B4FAB"/>
    <w:rsid w:val="008B5026"/>
    <w:rsid w:val="008B6BB1"/>
    <w:rsid w:val="008B70EE"/>
    <w:rsid w:val="008C285A"/>
    <w:rsid w:val="008D13E1"/>
    <w:rsid w:val="008D25AE"/>
    <w:rsid w:val="008D36F0"/>
    <w:rsid w:val="008D7DBA"/>
    <w:rsid w:val="008E48FC"/>
    <w:rsid w:val="008F114D"/>
    <w:rsid w:val="008F19A0"/>
    <w:rsid w:val="008F5B9D"/>
    <w:rsid w:val="00900AFE"/>
    <w:rsid w:val="00905D02"/>
    <w:rsid w:val="009168B8"/>
    <w:rsid w:val="00916A64"/>
    <w:rsid w:val="009173FF"/>
    <w:rsid w:val="0092055D"/>
    <w:rsid w:val="00920880"/>
    <w:rsid w:val="00920C9F"/>
    <w:rsid w:val="00923E53"/>
    <w:rsid w:val="009249B6"/>
    <w:rsid w:val="00924ABC"/>
    <w:rsid w:val="0094561E"/>
    <w:rsid w:val="00945A2D"/>
    <w:rsid w:val="00952226"/>
    <w:rsid w:val="00957B35"/>
    <w:rsid w:val="009600CE"/>
    <w:rsid w:val="0096187F"/>
    <w:rsid w:val="00962E0F"/>
    <w:rsid w:val="00965DEE"/>
    <w:rsid w:val="009723ED"/>
    <w:rsid w:val="0097257F"/>
    <w:rsid w:val="00975261"/>
    <w:rsid w:val="00981C5F"/>
    <w:rsid w:val="009820F1"/>
    <w:rsid w:val="0098755E"/>
    <w:rsid w:val="00991819"/>
    <w:rsid w:val="009935E6"/>
    <w:rsid w:val="00993934"/>
    <w:rsid w:val="00993B68"/>
    <w:rsid w:val="009A0D3C"/>
    <w:rsid w:val="009A3AD5"/>
    <w:rsid w:val="009A4F1C"/>
    <w:rsid w:val="009A548A"/>
    <w:rsid w:val="009A5AB4"/>
    <w:rsid w:val="009A6113"/>
    <w:rsid w:val="009A64EB"/>
    <w:rsid w:val="009A6520"/>
    <w:rsid w:val="009B059F"/>
    <w:rsid w:val="009B18DA"/>
    <w:rsid w:val="009B2A0A"/>
    <w:rsid w:val="009B76E6"/>
    <w:rsid w:val="009D0910"/>
    <w:rsid w:val="009D4CB9"/>
    <w:rsid w:val="009E03E1"/>
    <w:rsid w:val="009E77F4"/>
    <w:rsid w:val="009F1C6E"/>
    <w:rsid w:val="009F5880"/>
    <w:rsid w:val="00A01E59"/>
    <w:rsid w:val="00A04073"/>
    <w:rsid w:val="00A064BF"/>
    <w:rsid w:val="00A06782"/>
    <w:rsid w:val="00A108EB"/>
    <w:rsid w:val="00A11EE7"/>
    <w:rsid w:val="00A16D7D"/>
    <w:rsid w:val="00A2525D"/>
    <w:rsid w:val="00A26587"/>
    <w:rsid w:val="00A31037"/>
    <w:rsid w:val="00A32ECA"/>
    <w:rsid w:val="00A34C17"/>
    <w:rsid w:val="00A405DA"/>
    <w:rsid w:val="00A40D99"/>
    <w:rsid w:val="00A41CAB"/>
    <w:rsid w:val="00A41D88"/>
    <w:rsid w:val="00A443C2"/>
    <w:rsid w:val="00A51B28"/>
    <w:rsid w:val="00A55719"/>
    <w:rsid w:val="00A5608F"/>
    <w:rsid w:val="00A564F5"/>
    <w:rsid w:val="00A60789"/>
    <w:rsid w:val="00A66FB7"/>
    <w:rsid w:val="00A71B52"/>
    <w:rsid w:val="00A73BA5"/>
    <w:rsid w:val="00A77584"/>
    <w:rsid w:val="00A83447"/>
    <w:rsid w:val="00A83E3B"/>
    <w:rsid w:val="00A85933"/>
    <w:rsid w:val="00A93B96"/>
    <w:rsid w:val="00A9717E"/>
    <w:rsid w:val="00A975C0"/>
    <w:rsid w:val="00AA3F9E"/>
    <w:rsid w:val="00AA50F4"/>
    <w:rsid w:val="00AA6AF3"/>
    <w:rsid w:val="00AB0EDB"/>
    <w:rsid w:val="00AB1059"/>
    <w:rsid w:val="00AB2466"/>
    <w:rsid w:val="00AB3370"/>
    <w:rsid w:val="00AB5F3E"/>
    <w:rsid w:val="00AB699C"/>
    <w:rsid w:val="00AB6C12"/>
    <w:rsid w:val="00AB77D8"/>
    <w:rsid w:val="00AB7E8E"/>
    <w:rsid w:val="00AC00FB"/>
    <w:rsid w:val="00AC751D"/>
    <w:rsid w:val="00AD4A21"/>
    <w:rsid w:val="00AD7E58"/>
    <w:rsid w:val="00AE204F"/>
    <w:rsid w:val="00AE33F2"/>
    <w:rsid w:val="00AE442D"/>
    <w:rsid w:val="00AE75C1"/>
    <w:rsid w:val="00AF59D9"/>
    <w:rsid w:val="00AF7B67"/>
    <w:rsid w:val="00B0086E"/>
    <w:rsid w:val="00B01414"/>
    <w:rsid w:val="00B02394"/>
    <w:rsid w:val="00B0562C"/>
    <w:rsid w:val="00B05761"/>
    <w:rsid w:val="00B07357"/>
    <w:rsid w:val="00B11FC2"/>
    <w:rsid w:val="00B1217F"/>
    <w:rsid w:val="00B134FC"/>
    <w:rsid w:val="00B16829"/>
    <w:rsid w:val="00B21983"/>
    <w:rsid w:val="00B23FBC"/>
    <w:rsid w:val="00B3145D"/>
    <w:rsid w:val="00B33445"/>
    <w:rsid w:val="00B34201"/>
    <w:rsid w:val="00B34B75"/>
    <w:rsid w:val="00B3748D"/>
    <w:rsid w:val="00B378CE"/>
    <w:rsid w:val="00B43A4F"/>
    <w:rsid w:val="00B47E6A"/>
    <w:rsid w:val="00B52447"/>
    <w:rsid w:val="00B618AA"/>
    <w:rsid w:val="00B65AFF"/>
    <w:rsid w:val="00B67676"/>
    <w:rsid w:val="00B677EA"/>
    <w:rsid w:val="00B67842"/>
    <w:rsid w:val="00B70EC1"/>
    <w:rsid w:val="00B77DB4"/>
    <w:rsid w:val="00B77E77"/>
    <w:rsid w:val="00B82DCD"/>
    <w:rsid w:val="00B83EE2"/>
    <w:rsid w:val="00B91BF3"/>
    <w:rsid w:val="00BA59C1"/>
    <w:rsid w:val="00BA5E3F"/>
    <w:rsid w:val="00BA6ED1"/>
    <w:rsid w:val="00BB12F8"/>
    <w:rsid w:val="00BB3F97"/>
    <w:rsid w:val="00BC1402"/>
    <w:rsid w:val="00BC243B"/>
    <w:rsid w:val="00BC35F9"/>
    <w:rsid w:val="00BD1B7D"/>
    <w:rsid w:val="00BD1EBD"/>
    <w:rsid w:val="00BE017A"/>
    <w:rsid w:val="00BE05CD"/>
    <w:rsid w:val="00BE2486"/>
    <w:rsid w:val="00BE62A6"/>
    <w:rsid w:val="00C10F80"/>
    <w:rsid w:val="00C23459"/>
    <w:rsid w:val="00C25753"/>
    <w:rsid w:val="00C31CF7"/>
    <w:rsid w:val="00C33E61"/>
    <w:rsid w:val="00C415E1"/>
    <w:rsid w:val="00C46B74"/>
    <w:rsid w:val="00C506A6"/>
    <w:rsid w:val="00C51DF9"/>
    <w:rsid w:val="00C53D3F"/>
    <w:rsid w:val="00C53F0D"/>
    <w:rsid w:val="00C5417D"/>
    <w:rsid w:val="00C55DAC"/>
    <w:rsid w:val="00C56F94"/>
    <w:rsid w:val="00C5747F"/>
    <w:rsid w:val="00C60581"/>
    <w:rsid w:val="00C6254C"/>
    <w:rsid w:val="00C6355B"/>
    <w:rsid w:val="00C6373E"/>
    <w:rsid w:val="00C67183"/>
    <w:rsid w:val="00C706C6"/>
    <w:rsid w:val="00C71B2B"/>
    <w:rsid w:val="00C73A90"/>
    <w:rsid w:val="00C74561"/>
    <w:rsid w:val="00C7512B"/>
    <w:rsid w:val="00C76A08"/>
    <w:rsid w:val="00C94068"/>
    <w:rsid w:val="00CA18EB"/>
    <w:rsid w:val="00CB0A54"/>
    <w:rsid w:val="00CB36DB"/>
    <w:rsid w:val="00CC1383"/>
    <w:rsid w:val="00CC7C9E"/>
    <w:rsid w:val="00CC7DA5"/>
    <w:rsid w:val="00CD048D"/>
    <w:rsid w:val="00CE1660"/>
    <w:rsid w:val="00CE2B5E"/>
    <w:rsid w:val="00CE6E2C"/>
    <w:rsid w:val="00CF000E"/>
    <w:rsid w:val="00CF048E"/>
    <w:rsid w:val="00CF4418"/>
    <w:rsid w:val="00CF5E87"/>
    <w:rsid w:val="00CF655A"/>
    <w:rsid w:val="00CF75C1"/>
    <w:rsid w:val="00D01C96"/>
    <w:rsid w:val="00D065E1"/>
    <w:rsid w:val="00D119BC"/>
    <w:rsid w:val="00D15D8D"/>
    <w:rsid w:val="00D22CDF"/>
    <w:rsid w:val="00D320B5"/>
    <w:rsid w:val="00D341C9"/>
    <w:rsid w:val="00D34D70"/>
    <w:rsid w:val="00D36040"/>
    <w:rsid w:val="00D416B4"/>
    <w:rsid w:val="00D479BA"/>
    <w:rsid w:val="00D52070"/>
    <w:rsid w:val="00D559E7"/>
    <w:rsid w:val="00D56055"/>
    <w:rsid w:val="00D56B01"/>
    <w:rsid w:val="00D62B38"/>
    <w:rsid w:val="00D72B25"/>
    <w:rsid w:val="00D7480B"/>
    <w:rsid w:val="00D80CFA"/>
    <w:rsid w:val="00D81D6F"/>
    <w:rsid w:val="00D82520"/>
    <w:rsid w:val="00D828BA"/>
    <w:rsid w:val="00D8307A"/>
    <w:rsid w:val="00D856DE"/>
    <w:rsid w:val="00D85726"/>
    <w:rsid w:val="00D85A75"/>
    <w:rsid w:val="00D86331"/>
    <w:rsid w:val="00D909D3"/>
    <w:rsid w:val="00D93B6B"/>
    <w:rsid w:val="00D9545B"/>
    <w:rsid w:val="00D95F72"/>
    <w:rsid w:val="00D967FD"/>
    <w:rsid w:val="00DA34BC"/>
    <w:rsid w:val="00DA3D70"/>
    <w:rsid w:val="00DA4A04"/>
    <w:rsid w:val="00DA5170"/>
    <w:rsid w:val="00DA7EF6"/>
    <w:rsid w:val="00DB63DA"/>
    <w:rsid w:val="00DC05B5"/>
    <w:rsid w:val="00DC12A7"/>
    <w:rsid w:val="00DC4371"/>
    <w:rsid w:val="00DC6B1F"/>
    <w:rsid w:val="00DC7100"/>
    <w:rsid w:val="00DD4B3E"/>
    <w:rsid w:val="00DD77A2"/>
    <w:rsid w:val="00DD7BD0"/>
    <w:rsid w:val="00DE0639"/>
    <w:rsid w:val="00DE260E"/>
    <w:rsid w:val="00DE678E"/>
    <w:rsid w:val="00DF109E"/>
    <w:rsid w:val="00E02E23"/>
    <w:rsid w:val="00E10A07"/>
    <w:rsid w:val="00E1712D"/>
    <w:rsid w:val="00E27EB1"/>
    <w:rsid w:val="00E30B0E"/>
    <w:rsid w:val="00E43A48"/>
    <w:rsid w:val="00E44974"/>
    <w:rsid w:val="00E46AF2"/>
    <w:rsid w:val="00E46CD7"/>
    <w:rsid w:val="00E47348"/>
    <w:rsid w:val="00E515CF"/>
    <w:rsid w:val="00E56CEF"/>
    <w:rsid w:val="00E56D10"/>
    <w:rsid w:val="00E57E7C"/>
    <w:rsid w:val="00E603D5"/>
    <w:rsid w:val="00E6069E"/>
    <w:rsid w:val="00E63C0D"/>
    <w:rsid w:val="00E64157"/>
    <w:rsid w:val="00E7112A"/>
    <w:rsid w:val="00E742D0"/>
    <w:rsid w:val="00E85FAB"/>
    <w:rsid w:val="00E9345F"/>
    <w:rsid w:val="00EA00BF"/>
    <w:rsid w:val="00EA0DCA"/>
    <w:rsid w:val="00EA1EA1"/>
    <w:rsid w:val="00EA5128"/>
    <w:rsid w:val="00EB400C"/>
    <w:rsid w:val="00EB6CCB"/>
    <w:rsid w:val="00EB7722"/>
    <w:rsid w:val="00EC6FB7"/>
    <w:rsid w:val="00ED1A1F"/>
    <w:rsid w:val="00ED3E6E"/>
    <w:rsid w:val="00ED7354"/>
    <w:rsid w:val="00ED7DF7"/>
    <w:rsid w:val="00EE02FE"/>
    <w:rsid w:val="00EE0BD0"/>
    <w:rsid w:val="00EE2109"/>
    <w:rsid w:val="00EE2D5F"/>
    <w:rsid w:val="00EE52CB"/>
    <w:rsid w:val="00EE6401"/>
    <w:rsid w:val="00EE6B7B"/>
    <w:rsid w:val="00EE75CB"/>
    <w:rsid w:val="00EF51EB"/>
    <w:rsid w:val="00F01D30"/>
    <w:rsid w:val="00F02902"/>
    <w:rsid w:val="00F07F56"/>
    <w:rsid w:val="00F21E14"/>
    <w:rsid w:val="00F25C47"/>
    <w:rsid w:val="00F26835"/>
    <w:rsid w:val="00F276C5"/>
    <w:rsid w:val="00F30102"/>
    <w:rsid w:val="00F327DB"/>
    <w:rsid w:val="00F45E66"/>
    <w:rsid w:val="00F470E2"/>
    <w:rsid w:val="00F50593"/>
    <w:rsid w:val="00F574B3"/>
    <w:rsid w:val="00F5794D"/>
    <w:rsid w:val="00F57E7D"/>
    <w:rsid w:val="00F62132"/>
    <w:rsid w:val="00F65D8A"/>
    <w:rsid w:val="00F75497"/>
    <w:rsid w:val="00F84C6F"/>
    <w:rsid w:val="00F91821"/>
    <w:rsid w:val="00F9185F"/>
    <w:rsid w:val="00F91FBA"/>
    <w:rsid w:val="00F92ABA"/>
    <w:rsid w:val="00F92B0E"/>
    <w:rsid w:val="00F96144"/>
    <w:rsid w:val="00FA6E01"/>
    <w:rsid w:val="00FB3C8D"/>
    <w:rsid w:val="00FB46FE"/>
    <w:rsid w:val="00FB4F9C"/>
    <w:rsid w:val="00FC05C7"/>
    <w:rsid w:val="00FC1F8F"/>
    <w:rsid w:val="00FC646E"/>
    <w:rsid w:val="00FE1013"/>
    <w:rsid w:val="00FE6DAB"/>
    <w:rsid w:val="00FE7998"/>
    <w:rsid w:val="00FE7CED"/>
    <w:rsid w:val="00FF72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A2F498"/>
  <w15:docId w15:val="{6B236D09-64F7-4D1E-96EF-F1AD04D2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BF3"/>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1B5FE0"/>
    <w:pPr>
      <w:keepNext/>
      <w:numPr>
        <w:numId w:val="1"/>
      </w:numPr>
      <w:spacing w:after="240"/>
      <w:jc w:val="left"/>
      <w:outlineLvl w:val="0"/>
    </w:pPr>
    <w:rPr>
      <w:rFonts w:eastAsia="Adobe Gothic Std B"/>
      <w:b/>
      <w:bCs/>
      <w:color w:val="005DA4"/>
      <w:kern w:val="32"/>
    </w:rPr>
  </w:style>
  <w:style w:type="paragraph" w:styleId="Heading2">
    <w:name w:val="heading 2"/>
    <w:basedOn w:val="Normal"/>
    <w:next w:val="Normal"/>
    <w:link w:val="Heading2Char"/>
    <w:uiPriority w:val="9"/>
    <w:unhideWhenUsed/>
    <w:qFormat/>
    <w:rsid w:val="00AE204F"/>
    <w:pPr>
      <w:spacing w:after="240"/>
      <w:jc w:val="left"/>
      <w:outlineLvl w:val="1"/>
    </w:pPr>
    <w:rPr>
      <w:b/>
      <w:color w:val="005DA4"/>
    </w:rPr>
  </w:style>
  <w:style w:type="paragraph" w:styleId="Heading3">
    <w:name w:val="heading 3"/>
    <w:basedOn w:val="Normal"/>
    <w:next w:val="Normal"/>
    <w:link w:val="Heading3Char"/>
    <w:autoRedefine/>
    <w:uiPriority w:val="9"/>
    <w:unhideWhenUsed/>
    <w:qFormat/>
    <w:rsid w:val="00544C56"/>
    <w:pPr>
      <w:keepNext/>
      <w:spacing w:after="240"/>
      <w:ind w:left="426" w:hanging="66"/>
      <w:outlineLvl w:val="2"/>
    </w:pPr>
    <w:rPr>
      <w:bCs/>
      <w:u w:val="single"/>
    </w:rPr>
  </w:style>
  <w:style w:type="paragraph" w:styleId="Heading4">
    <w:name w:val="heading 4"/>
    <w:basedOn w:val="Normal"/>
    <w:next w:val="Normal"/>
    <w:link w:val="Heading4Char"/>
    <w:uiPriority w:val="9"/>
    <w:unhideWhenUsed/>
    <w:qFormat/>
    <w:rsid w:val="002606BE"/>
    <w:pPr>
      <w:keepNext/>
      <w:spacing w:before="240" w:after="60"/>
      <w:outlineLvl w:val="3"/>
    </w:pPr>
    <w:rPr>
      <w:b/>
      <w:bCs/>
      <w:color w:val="005DA4"/>
      <w:szCs w:val="28"/>
    </w:rPr>
  </w:style>
  <w:style w:type="paragraph" w:styleId="Heading5">
    <w:name w:val="heading 5"/>
    <w:basedOn w:val="Normal"/>
    <w:next w:val="Normal"/>
    <w:link w:val="Heading5Char"/>
    <w:uiPriority w:val="9"/>
    <w:unhideWhenUsed/>
    <w:qFormat/>
    <w:rsid w:val="00B91BF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91BF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91BF3"/>
    <w:pPr>
      <w:spacing w:before="240" w:after="60"/>
      <w:outlineLvl w:val="6"/>
    </w:pPr>
  </w:style>
  <w:style w:type="paragraph" w:styleId="Heading8">
    <w:name w:val="heading 8"/>
    <w:basedOn w:val="Normal"/>
    <w:next w:val="Normal"/>
    <w:link w:val="Heading8Char"/>
    <w:uiPriority w:val="9"/>
    <w:unhideWhenUsed/>
    <w:qFormat/>
    <w:rsid w:val="00B91BF3"/>
    <w:pPr>
      <w:spacing w:before="240" w:after="60"/>
      <w:outlineLvl w:val="7"/>
    </w:pPr>
    <w:rPr>
      <w:i/>
      <w:iCs/>
    </w:rPr>
  </w:style>
  <w:style w:type="paragraph" w:styleId="Heading9">
    <w:name w:val="heading 9"/>
    <w:basedOn w:val="Normal"/>
    <w:next w:val="Normal"/>
    <w:link w:val="Heading9Char"/>
    <w:uiPriority w:val="9"/>
    <w:unhideWhenUsed/>
    <w:qFormat/>
    <w:rsid w:val="00B91BF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5FE0"/>
    <w:rPr>
      <w:rFonts w:ascii="Times New Roman" w:eastAsia="Adobe Gothic Std B" w:hAnsi="Times New Roman"/>
      <w:b/>
      <w:bCs/>
      <w:color w:val="005DA4"/>
      <w:kern w:val="32"/>
      <w:sz w:val="24"/>
      <w:szCs w:val="24"/>
      <w:lang w:eastAsia="en-US"/>
    </w:rPr>
  </w:style>
  <w:style w:type="character" w:customStyle="1" w:styleId="Heading2Char">
    <w:name w:val="Heading 2 Char"/>
    <w:link w:val="Heading2"/>
    <w:uiPriority w:val="9"/>
    <w:rsid w:val="00AE204F"/>
    <w:rPr>
      <w:rFonts w:ascii="Times New Roman" w:hAnsi="Times New Roman"/>
      <w:b/>
      <w:color w:val="005DA4"/>
      <w:sz w:val="24"/>
      <w:szCs w:val="24"/>
      <w:lang w:eastAsia="en-US"/>
    </w:rPr>
  </w:style>
  <w:style w:type="character" w:customStyle="1" w:styleId="Heading3Char">
    <w:name w:val="Heading 3 Char"/>
    <w:link w:val="Heading3"/>
    <w:uiPriority w:val="9"/>
    <w:rsid w:val="00544C56"/>
    <w:rPr>
      <w:rFonts w:ascii="Times New Roman" w:hAnsi="Times New Roman"/>
      <w:bCs/>
      <w:sz w:val="24"/>
      <w:szCs w:val="24"/>
      <w:u w:val="single"/>
      <w:lang w:eastAsia="en-US"/>
    </w:rPr>
  </w:style>
  <w:style w:type="character" w:customStyle="1" w:styleId="Heading4Char">
    <w:name w:val="Heading 4 Char"/>
    <w:link w:val="Heading4"/>
    <w:uiPriority w:val="9"/>
    <w:rsid w:val="002606BE"/>
    <w:rPr>
      <w:rFonts w:ascii="Times New Roman" w:hAnsi="Times New Roman"/>
      <w:b/>
      <w:bCs/>
      <w:color w:val="005DA4"/>
      <w:sz w:val="24"/>
      <w:szCs w:val="28"/>
      <w:lang w:eastAsia="en-US"/>
    </w:rPr>
  </w:style>
  <w:style w:type="character" w:customStyle="1" w:styleId="Heading5Char">
    <w:name w:val="Heading 5 Char"/>
    <w:link w:val="Heading5"/>
    <w:uiPriority w:val="9"/>
    <w:semiHidden/>
    <w:rsid w:val="00B91BF3"/>
    <w:rPr>
      <w:b/>
      <w:bCs/>
      <w:i/>
      <w:iCs/>
      <w:sz w:val="26"/>
      <w:szCs w:val="26"/>
    </w:rPr>
  </w:style>
  <w:style w:type="character" w:customStyle="1" w:styleId="Heading6Char">
    <w:name w:val="Heading 6 Char"/>
    <w:link w:val="Heading6"/>
    <w:uiPriority w:val="9"/>
    <w:semiHidden/>
    <w:rsid w:val="00B91BF3"/>
    <w:rPr>
      <w:b/>
      <w:bCs/>
    </w:rPr>
  </w:style>
  <w:style w:type="character" w:customStyle="1" w:styleId="Heading7Char">
    <w:name w:val="Heading 7 Char"/>
    <w:link w:val="Heading7"/>
    <w:uiPriority w:val="9"/>
    <w:semiHidden/>
    <w:rsid w:val="00B91BF3"/>
    <w:rPr>
      <w:sz w:val="24"/>
      <w:szCs w:val="24"/>
    </w:rPr>
  </w:style>
  <w:style w:type="character" w:customStyle="1" w:styleId="Heading8Char">
    <w:name w:val="Heading 8 Char"/>
    <w:link w:val="Heading8"/>
    <w:uiPriority w:val="9"/>
    <w:semiHidden/>
    <w:rsid w:val="00B91BF3"/>
    <w:rPr>
      <w:i/>
      <w:iCs/>
      <w:sz w:val="24"/>
      <w:szCs w:val="24"/>
    </w:rPr>
  </w:style>
  <w:style w:type="character" w:customStyle="1" w:styleId="Heading9Char">
    <w:name w:val="Heading 9 Char"/>
    <w:link w:val="Heading9"/>
    <w:uiPriority w:val="9"/>
    <w:semiHidden/>
    <w:rsid w:val="00B91BF3"/>
    <w:rPr>
      <w:rFonts w:ascii="Cambria" w:eastAsia="Times New Roman" w:hAnsi="Cambria"/>
    </w:rPr>
  </w:style>
  <w:style w:type="paragraph" w:styleId="Title">
    <w:name w:val="Title"/>
    <w:basedOn w:val="Normal"/>
    <w:next w:val="Normal"/>
    <w:link w:val="TitleChar"/>
    <w:uiPriority w:val="10"/>
    <w:qFormat/>
    <w:rsid w:val="002421B8"/>
    <w:pPr>
      <w:spacing w:before="240" w:after="60"/>
      <w:jc w:val="center"/>
    </w:pPr>
    <w:rPr>
      <w:rFonts w:ascii="Arial" w:eastAsia="Times New Roman" w:hAnsi="Arial" w:cs="Arial"/>
      <w:b/>
      <w:bCs/>
      <w:kern w:val="28"/>
      <w:sz w:val="32"/>
      <w:szCs w:val="32"/>
    </w:rPr>
  </w:style>
  <w:style w:type="character" w:customStyle="1" w:styleId="TitleChar">
    <w:name w:val="Title Char"/>
    <w:link w:val="Title"/>
    <w:uiPriority w:val="10"/>
    <w:rsid w:val="002421B8"/>
    <w:rPr>
      <w:rFonts w:ascii="Arial" w:eastAsia="Times New Roman" w:hAnsi="Arial" w:cs="Arial"/>
      <w:b/>
      <w:bCs/>
      <w:kern w:val="28"/>
      <w:sz w:val="32"/>
      <w:szCs w:val="32"/>
      <w:lang w:eastAsia="en-US"/>
    </w:rPr>
  </w:style>
  <w:style w:type="paragraph" w:styleId="Subtitle">
    <w:name w:val="Subtitle"/>
    <w:basedOn w:val="Normal"/>
    <w:next w:val="Normal"/>
    <w:link w:val="SubtitleChar"/>
    <w:uiPriority w:val="11"/>
    <w:qFormat/>
    <w:rsid w:val="002421B8"/>
    <w:pPr>
      <w:spacing w:after="60"/>
      <w:jc w:val="center"/>
    </w:pPr>
    <w:rPr>
      <w:rFonts w:ascii="Arial" w:eastAsia="Times New Roman" w:hAnsi="Arial" w:cs="Arial"/>
    </w:rPr>
  </w:style>
  <w:style w:type="character" w:customStyle="1" w:styleId="SubtitleChar">
    <w:name w:val="Subtitle Char"/>
    <w:link w:val="Subtitle"/>
    <w:uiPriority w:val="11"/>
    <w:rsid w:val="002421B8"/>
    <w:rPr>
      <w:rFonts w:ascii="Arial" w:eastAsia="Times New Roman" w:hAnsi="Arial" w:cs="Arial"/>
      <w:sz w:val="24"/>
      <w:szCs w:val="24"/>
      <w:lang w:eastAsia="en-US"/>
    </w:rPr>
  </w:style>
  <w:style w:type="character" w:styleId="Strong">
    <w:name w:val="Strong"/>
    <w:uiPriority w:val="22"/>
    <w:qFormat/>
    <w:rsid w:val="00B91BF3"/>
    <w:rPr>
      <w:b/>
      <w:bCs/>
    </w:rPr>
  </w:style>
  <w:style w:type="character" w:styleId="Emphasis">
    <w:name w:val="Emphasis"/>
    <w:uiPriority w:val="20"/>
    <w:qFormat/>
    <w:rsid w:val="00B91BF3"/>
    <w:rPr>
      <w:rFonts w:ascii="Calibri" w:hAnsi="Calibri"/>
      <w:b/>
      <w:i/>
      <w:iCs/>
    </w:rPr>
  </w:style>
  <w:style w:type="paragraph" w:styleId="NoSpacing">
    <w:name w:val="No Spacing"/>
    <w:basedOn w:val="Normal"/>
    <w:link w:val="NoSpacingChar"/>
    <w:uiPriority w:val="1"/>
    <w:qFormat/>
    <w:rsid w:val="00B91BF3"/>
    <w:rPr>
      <w:szCs w:val="32"/>
    </w:rPr>
  </w:style>
  <w:style w:type="paragraph" w:styleId="ListParagraph">
    <w:name w:val="List Paragraph"/>
    <w:basedOn w:val="Normal"/>
    <w:uiPriority w:val="34"/>
    <w:qFormat/>
    <w:rsid w:val="00B91BF3"/>
    <w:pPr>
      <w:ind w:left="720"/>
      <w:contextualSpacing/>
    </w:pPr>
  </w:style>
  <w:style w:type="paragraph" w:styleId="Quote">
    <w:name w:val="Quote"/>
    <w:basedOn w:val="Normal"/>
    <w:next w:val="Normal"/>
    <w:link w:val="QuoteChar"/>
    <w:uiPriority w:val="29"/>
    <w:qFormat/>
    <w:rsid w:val="00B91BF3"/>
    <w:rPr>
      <w:i/>
    </w:rPr>
  </w:style>
  <w:style w:type="character" w:customStyle="1" w:styleId="QuoteChar">
    <w:name w:val="Quote Char"/>
    <w:link w:val="Quote"/>
    <w:uiPriority w:val="29"/>
    <w:rsid w:val="00B91BF3"/>
    <w:rPr>
      <w:i/>
      <w:sz w:val="24"/>
      <w:szCs w:val="24"/>
    </w:rPr>
  </w:style>
  <w:style w:type="paragraph" w:styleId="IntenseQuote">
    <w:name w:val="Intense Quote"/>
    <w:basedOn w:val="Normal"/>
    <w:next w:val="Normal"/>
    <w:link w:val="IntenseQuoteChar"/>
    <w:uiPriority w:val="30"/>
    <w:qFormat/>
    <w:rsid w:val="00B91BF3"/>
    <w:pPr>
      <w:ind w:left="720" w:right="720"/>
    </w:pPr>
    <w:rPr>
      <w:b/>
      <w:i/>
      <w:szCs w:val="22"/>
    </w:rPr>
  </w:style>
  <w:style w:type="character" w:customStyle="1" w:styleId="IntenseQuoteChar">
    <w:name w:val="Intense Quote Char"/>
    <w:link w:val="IntenseQuote"/>
    <w:uiPriority w:val="30"/>
    <w:rsid w:val="00B91BF3"/>
    <w:rPr>
      <w:b/>
      <w:i/>
      <w:sz w:val="24"/>
    </w:rPr>
  </w:style>
  <w:style w:type="character" w:styleId="SubtleEmphasis">
    <w:name w:val="Subtle Emphasis"/>
    <w:uiPriority w:val="19"/>
    <w:qFormat/>
    <w:rsid w:val="00B91BF3"/>
    <w:rPr>
      <w:i/>
      <w:color w:val="5A5A5A"/>
    </w:rPr>
  </w:style>
  <w:style w:type="character" w:styleId="IntenseEmphasis">
    <w:name w:val="Intense Emphasis"/>
    <w:uiPriority w:val="21"/>
    <w:qFormat/>
    <w:rsid w:val="00B91BF3"/>
    <w:rPr>
      <w:b/>
      <w:i/>
      <w:sz w:val="24"/>
      <w:szCs w:val="24"/>
      <w:u w:val="single"/>
    </w:rPr>
  </w:style>
  <w:style w:type="character" w:styleId="SubtleReference">
    <w:name w:val="Subtle Reference"/>
    <w:uiPriority w:val="31"/>
    <w:qFormat/>
    <w:rsid w:val="00B91BF3"/>
    <w:rPr>
      <w:sz w:val="24"/>
      <w:szCs w:val="24"/>
      <w:u w:val="single"/>
    </w:rPr>
  </w:style>
  <w:style w:type="character" w:styleId="IntenseReference">
    <w:name w:val="Intense Reference"/>
    <w:uiPriority w:val="32"/>
    <w:qFormat/>
    <w:rsid w:val="00B91BF3"/>
    <w:rPr>
      <w:b/>
      <w:sz w:val="24"/>
      <w:u w:val="single"/>
    </w:rPr>
  </w:style>
  <w:style w:type="character" w:styleId="BookTitle">
    <w:name w:val="Book Title"/>
    <w:uiPriority w:val="33"/>
    <w:qFormat/>
    <w:rsid w:val="00B91BF3"/>
    <w:rPr>
      <w:rFonts w:ascii="Cambria" w:eastAsia="Times New Roman" w:hAnsi="Cambria"/>
      <w:b/>
      <w:i/>
      <w:sz w:val="24"/>
      <w:szCs w:val="24"/>
    </w:rPr>
  </w:style>
  <w:style w:type="paragraph" w:styleId="TOCHeading">
    <w:name w:val="TOC Heading"/>
    <w:basedOn w:val="Heading1"/>
    <w:next w:val="Normal"/>
    <w:uiPriority w:val="39"/>
    <w:unhideWhenUsed/>
    <w:qFormat/>
    <w:rsid w:val="00B91BF3"/>
    <w:pPr>
      <w:outlineLvl w:val="9"/>
    </w:pPr>
  </w:style>
  <w:style w:type="paragraph" w:styleId="TOC1">
    <w:name w:val="toc 1"/>
    <w:basedOn w:val="Normal"/>
    <w:next w:val="Normal"/>
    <w:autoRedefine/>
    <w:uiPriority w:val="39"/>
    <w:unhideWhenUsed/>
    <w:qFormat/>
    <w:rsid w:val="000F33CF"/>
    <w:pPr>
      <w:tabs>
        <w:tab w:val="left" w:pos="440"/>
        <w:tab w:val="right" w:leader="dot" w:pos="9016"/>
      </w:tabs>
      <w:spacing w:before="120" w:after="120"/>
    </w:pPr>
    <w:rPr>
      <w:b/>
      <w:sz w:val="20"/>
    </w:rPr>
  </w:style>
  <w:style w:type="character" w:styleId="Hyperlink">
    <w:name w:val="Hyperlink"/>
    <w:unhideWhenUsed/>
    <w:rsid w:val="00EE2109"/>
    <w:rPr>
      <w:color w:val="0000FF"/>
      <w:u w:val="single"/>
    </w:rPr>
  </w:style>
  <w:style w:type="paragraph" w:styleId="TOC2">
    <w:name w:val="toc 2"/>
    <w:basedOn w:val="Normal"/>
    <w:next w:val="Normal"/>
    <w:autoRedefine/>
    <w:uiPriority w:val="39"/>
    <w:unhideWhenUsed/>
    <w:qFormat/>
    <w:rsid w:val="00CC1383"/>
    <w:pPr>
      <w:tabs>
        <w:tab w:val="left" w:pos="426"/>
        <w:tab w:val="right" w:leader="dot" w:pos="9016"/>
      </w:tabs>
      <w:spacing w:before="60" w:after="60"/>
    </w:pPr>
    <w:rPr>
      <w:caps/>
      <w:noProof/>
      <w:sz w:val="20"/>
    </w:rPr>
  </w:style>
  <w:style w:type="paragraph" w:styleId="Header">
    <w:name w:val="header"/>
    <w:basedOn w:val="Normal"/>
    <w:link w:val="HeaderChar"/>
    <w:uiPriority w:val="99"/>
    <w:unhideWhenUsed/>
    <w:rsid w:val="00EE2109"/>
    <w:pPr>
      <w:tabs>
        <w:tab w:val="center" w:pos="4513"/>
        <w:tab w:val="right" w:pos="9026"/>
      </w:tabs>
    </w:pPr>
  </w:style>
  <w:style w:type="character" w:customStyle="1" w:styleId="HeaderChar">
    <w:name w:val="Header Char"/>
    <w:link w:val="Header"/>
    <w:uiPriority w:val="99"/>
    <w:rsid w:val="00EE2109"/>
    <w:rPr>
      <w:rFonts w:ascii="Times New Roman" w:hAnsi="Times New Roman"/>
      <w:sz w:val="24"/>
      <w:szCs w:val="24"/>
      <w:lang w:eastAsia="en-US"/>
    </w:rPr>
  </w:style>
  <w:style w:type="paragraph" w:styleId="Footer">
    <w:name w:val="footer"/>
    <w:basedOn w:val="Normal"/>
    <w:link w:val="FooterChar"/>
    <w:uiPriority w:val="99"/>
    <w:unhideWhenUsed/>
    <w:rsid w:val="00EE2109"/>
    <w:pPr>
      <w:tabs>
        <w:tab w:val="center" w:pos="4513"/>
        <w:tab w:val="right" w:pos="9026"/>
      </w:tabs>
    </w:pPr>
  </w:style>
  <w:style w:type="character" w:customStyle="1" w:styleId="FooterChar">
    <w:name w:val="Footer Char"/>
    <w:link w:val="Footer"/>
    <w:uiPriority w:val="99"/>
    <w:rsid w:val="00EE2109"/>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EE2109"/>
    <w:rPr>
      <w:rFonts w:ascii="Tahoma" w:hAnsi="Tahoma" w:cs="Tahoma"/>
      <w:sz w:val="16"/>
      <w:szCs w:val="16"/>
    </w:rPr>
  </w:style>
  <w:style w:type="character" w:customStyle="1" w:styleId="BalloonTextChar">
    <w:name w:val="Balloon Text Char"/>
    <w:link w:val="BalloonText"/>
    <w:uiPriority w:val="99"/>
    <w:semiHidden/>
    <w:rsid w:val="00EE2109"/>
    <w:rPr>
      <w:rFonts w:ascii="Tahoma" w:hAnsi="Tahoma" w:cs="Tahoma"/>
      <w:sz w:val="16"/>
      <w:szCs w:val="16"/>
      <w:lang w:eastAsia="en-US"/>
    </w:rPr>
  </w:style>
  <w:style w:type="character" w:customStyle="1" w:styleId="NoSpacingChar">
    <w:name w:val="No Spacing Char"/>
    <w:link w:val="NoSpacing"/>
    <w:uiPriority w:val="1"/>
    <w:rsid w:val="0012671F"/>
    <w:rPr>
      <w:rFonts w:ascii="Times New Roman" w:hAnsi="Times New Roman"/>
      <w:sz w:val="24"/>
      <w:szCs w:val="32"/>
      <w:lang w:eastAsia="en-US"/>
    </w:rPr>
  </w:style>
  <w:style w:type="paragraph" w:styleId="TOC3">
    <w:name w:val="toc 3"/>
    <w:basedOn w:val="Normal"/>
    <w:next w:val="Normal"/>
    <w:autoRedefine/>
    <w:uiPriority w:val="39"/>
    <w:unhideWhenUsed/>
    <w:qFormat/>
    <w:rsid w:val="001E4ABE"/>
    <w:pPr>
      <w:tabs>
        <w:tab w:val="right" w:leader="dot" w:pos="9016"/>
      </w:tabs>
      <w:ind w:left="1276"/>
      <w:jc w:val="left"/>
    </w:pPr>
    <w:rPr>
      <w:rFonts w:eastAsia="MS Mincho" w:cs="Arial"/>
      <w:i/>
      <w:sz w:val="20"/>
      <w:szCs w:val="22"/>
      <w:lang w:eastAsia="ja-JP"/>
    </w:rPr>
  </w:style>
  <w:style w:type="character" w:customStyle="1" w:styleId="ColorfulGrid-Accent1Char">
    <w:name w:val="Colorful Grid - Accent 1 Char"/>
    <w:link w:val="ColorfulGrid-Accent1"/>
    <w:uiPriority w:val="29"/>
    <w:rsid w:val="0035115D"/>
    <w:rPr>
      <w:i/>
      <w:sz w:val="24"/>
      <w:szCs w:val="24"/>
    </w:rPr>
  </w:style>
  <w:style w:type="character" w:customStyle="1" w:styleId="LightShading-Accent2Char">
    <w:name w:val="Light Shading - Accent 2 Char"/>
    <w:link w:val="LightShading-Accent2"/>
    <w:uiPriority w:val="30"/>
    <w:rsid w:val="0035115D"/>
    <w:rPr>
      <w:b/>
      <w:i/>
      <w:sz w:val="24"/>
    </w:rPr>
  </w:style>
  <w:style w:type="character" w:customStyle="1" w:styleId="Accentuationdiscrte">
    <w:name w:val="Accentuation discrète"/>
    <w:uiPriority w:val="19"/>
    <w:qFormat/>
    <w:rsid w:val="0035115D"/>
    <w:rPr>
      <w:i/>
      <w:color w:val="5A5A5A"/>
    </w:rPr>
  </w:style>
  <w:style w:type="character" w:customStyle="1" w:styleId="Forteaccentuation">
    <w:name w:val="Forte accentuation"/>
    <w:uiPriority w:val="21"/>
    <w:qFormat/>
    <w:rsid w:val="0035115D"/>
    <w:rPr>
      <w:b/>
      <w:i/>
      <w:sz w:val="24"/>
      <w:szCs w:val="24"/>
      <w:u w:val="single"/>
    </w:rPr>
  </w:style>
  <w:style w:type="character" w:customStyle="1" w:styleId="Rfrenceple">
    <w:name w:val="Référence pâle"/>
    <w:uiPriority w:val="31"/>
    <w:qFormat/>
    <w:rsid w:val="0035115D"/>
    <w:rPr>
      <w:sz w:val="24"/>
      <w:szCs w:val="24"/>
      <w:u w:val="single"/>
    </w:rPr>
  </w:style>
  <w:style w:type="character" w:customStyle="1" w:styleId="Rfrenceintense">
    <w:name w:val="Référence intense"/>
    <w:uiPriority w:val="32"/>
    <w:qFormat/>
    <w:rsid w:val="0035115D"/>
    <w:rPr>
      <w:b/>
      <w:sz w:val="24"/>
      <w:u w:val="single"/>
    </w:rPr>
  </w:style>
  <w:style w:type="character" w:customStyle="1" w:styleId="Titredulivre">
    <w:name w:val="Titre du livre"/>
    <w:uiPriority w:val="33"/>
    <w:qFormat/>
    <w:rsid w:val="0035115D"/>
    <w:rPr>
      <w:rFonts w:ascii="Cambria" w:eastAsia="Times New Roman" w:hAnsi="Cambria"/>
      <w:b/>
      <w:i/>
      <w:sz w:val="24"/>
      <w:szCs w:val="24"/>
    </w:rPr>
  </w:style>
  <w:style w:type="paragraph" w:customStyle="1" w:styleId="En-ttedetabledesmatires">
    <w:name w:val="En-tête de table des matières"/>
    <w:basedOn w:val="Heading1"/>
    <w:next w:val="Normal"/>
    <w:uiPriority w:val="39"/>
    <w:semiHidden/>
    <w:unhideWhenUsed/>
    <w:qFormat/>
    <w:rsid w:val="0035115D"/>
    <w:pPr>
      <w:jc w:val="both"/>
      <w:outlineLvl w:val="9"/>
    </w:pPr>
    <w:rPr>
      <w:rFonts w:ascii="Arial" w:eastAsia="Times New Roman" w:hAnsi="Arial"/>
      <w:color w:val="auto"/>
      <w:sz w:val="32"/>
      <w:szCs w:val="32"/>
    </w:rPr>
  </w:style>
  <w:style w:type="character" w:styleId="FootnoteReference">
    <w:name w:val="footnote reference"/>
    <w:aliases w:val="BVI fnr,Footnote Reference Superscript,SUPERS,Footnote symbol,(Footnote Reference),Footnote reference number,note TESI,EN Footnote Reference,Voetnootverwijzing,Times 10 Point,Exposant 3 Point,Appel note de bas de,FR,C"/>
    <w:uiPriority w:val="99"/>
    <w:unhideWhenUsed/>
    <w:qFormat/>
    <w:rsid w:val="0035115D"/>
    <w:rPr>
      <w:vertAlign w:val="superscript"/>
    </w:rPr>
  </w:style>
  <w:style w:type="paragraph" w:customStyle="1" w:styleId="Default">
    <w:name w:val="Default"/>
    <w:rsid w:val="0035115D"/>
    <w:pPr>
      <w:autoSpaceDE w:val="0"/>
      <w:autoSpaceDN w:val="0"/>
      <w:adjustRightInd w:val="0"/>
    </w:pPr>
    <w:rPr>
      <w:rFonts w:ascii="Arial" w:hAnsi="Arial" w:cs="Arial"/>
      <w:color w:val="000000"/>
      <w:sz w:val="24"/>
      <w:szCs w:val="24"/>
    </w:rPr>
  </w:style>
  <w:style w:type="paragraph" w:styleId="FootnoteText">
    <w:name w:val="footnote text"/>
    <w:aliases w:val="fn,footnote text,Fußnotentext Char Char Char Char,Fußnotentext Char Char Char,Footnotetext,Footnotetext1,ftx,Footnotetext2,ftx1,Footnotetext3,ftx2,Footnotetext4,ftx3,Footnotetext5,ftx4,Footnotetext6,Footnotetext7,Footnotetext8"/>
    <w:basedOn w:val="Normal"/>
    <w:link w:val="FootnoteTextChar"/>
    <w:uiPriority w:val="99"/>
    <w:unhideWhenUsed/>
    <w:rsid w:val="0035115D"/>
    <w:rPr>
      <w:sz w:val="20"/>
      <w:szCs w:val="20"/>
    </w:rPr>
  </w:style>
  <w:style w:type="character" w:customStyle="1" w:styleId="FootnoteTextChar">
    <w:name w:val="Footnote Text Char"/>
    <w:aliases w:val="fn Char,footnote text Char,Fußnotentext Char Char Char Char Char,Fußnotentext Char Char Char Char1,Footnotetext Char,Footnotetext1 Char,ftx Char,Footnotetext2 Char,ftx1 Char,Footnotetext3 Char,ftx2 Char,Footnotetext4 Char,ftx3 Char"/>
    <w:link w:val="FootnoteText"/>
    <w:uiPriority w:val="99"/>
    <w:rsid w:val="0035115D"/>
    <w:rPr>
      <w:rFonts w:ascii="Times New Roman" w:hAnsi="Times New Roman"/>
      <w:lang w:val="fi-FI" w:eastAsia="en-US"/>
    </w:rPr>
  </w:style>
  <w:style w:type="character" w:styleId="CommentReference">
    <w:name w:val="annotation reference"/>
    <w:uiPriority w:val="99"/>
    <w:semiHidden/>
    <w:unhideWhenUsed/>
    <w:rsid w:val="0035115D"/>
    <w:rPr>
      <w:sz w:val="16"/>
      <w:szCs w:val="16"/>
    </w:rPr>
  </w:style>
  <w:style w:type="paragraph" w:styleId="CommentText">
    <w:name w:val="annotation text"/>
    <w:basedOn w:val="Normal"/>
    <w:link w:val="CommentTextChar"/>
    <w:uiPriority w:val="99"/>
    <w:unhideWhenUsed/>
    <w:rsid w:val="0035115D"/>
    <w:rPr>
      <w:sz w:val="20"/>
      <w:szCs w:val="20"/>
    </w:rPr>
  </w:style>
  <w:style w:type="character" w:customStyle="1" w:styleId="CommentTextChar">
    <w:name w:val="Comment Text Char"/>
    <w:link w:val="CommentText"/>
    <w:uiPriority w:val="99"/>
    <w:rsid w:val="0035115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5115D"/>
    <w:rPr>
      <w:b/>
      <w:bCs/>
    </w:rPr>
  </w:style>
  <w:style w:type="character" w:customStyle="1" w:styleId="CommentSubjectChar">
    <w:name w:val="Comment Subject Char"/>
    <w:link w:val="CommentSubject"/>
    <w:uiPriority w:val="99"/>
    <w:semiHidden/>
    <w:rsid w:val="0035115D"/>
    <w:rPr>
      <w:rFonts w:ascii="Times New Roman" w:hAnsi="Times New Roman"/>
      <w:b/>
      <w:bCs/>
      <w:lang w:eastAsia="en-US"/>
    </w:rPr>
  </w:style>
  <w:style w:type="character" w:styleId="FollowedHyperlink">
    <w:name w:val="FollowedHyperlink"/>
    <w:uiPriority w:val="99"/>
    <w:semiHidden/>
    <w:unhideWhenUsed/>
    <w:rsid w:val="0035115D"/>
    <w:rPr>
      <w:color w:val="800080"/>
      <w:u w:val="single"/>
    </w:rPr>
  </w:style>
  <w:style w:type="table" w:styleId="TableGrid">
    <w:name w:val="Table Grid"/>
    <w:basedOn w:val="TableNormal"/>
    <w:uiPriority w:val="59"/>
    <w:rsid w:val="0035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5115D"/>
    <w:pPr>
      <w:ind w:left="720"/>
      <w:jc w:val="left"/>
    </w:pPr>
    <w:rPr>
      <w:rFonts w:ascii="Calibri" w:hAnsi="Calibri" w:cs="Calibri"/>
      <w:sz w:val="18"/>
      <w:szCs w:val="18"/>
    </w:rPr>
  </w:style>
  <w:style w:type="paragraph" w:styleId="TOC5">
    <w:name w:val="toc 5"/>
    <w:basedOn w:val="Normal"/>
    <w:next w:val="Normal"/>
    <w:autoRedefine/>
    <w:uiPriority w:val="39"/>
    <w:unhideWhenUsed/>
    <w:rsid w:val="0035115D"/>
    <w:pPr>
      <w:ind w:left="960"/>
      <w:jc w:val="left"/>
    </w:pPr>
    <w:rPr>
      <w:rFonts w:ascii="Calibri" w:hAnsi="Calibri" w:cs="Calibri"/>
      <w:sz w:val="18"/>
      <w:szCs w:val="18"/>
    </w:rPr>
  </w:style>
  <w:style w:type="paragraph" w:styleId="TOC6">
    <w:name w:val="toc 6"/>
    <w:basedOn w:val="Normal"/>
    <w:next w:val="Normal"/>
    <w:autoRedefine/>
    <w:uiPriority w:val="39"/>
    <w:unhideWhenUsed/>
    <w:rsid w:val="0035115D"/>
    <w:pPr>
      <w:ind w:left="1200"/>
      <w:jc w:val="left"/>
    </w:pPr>
    <w:rPr>
      <w:rFonts w:ascii="Calibri" w:hAnsi="Calibri" w:cs="Calibri"/>
      <w:sz w:val="18"/>
      <w:szCs w:val="18"/>
    </w:rPr>
  </w:style>
  <w:style w:type="paragraph" w:styleId="TOC7">
    <w:name w:val="toc 7"/>
    <w:basedOn w:val="Normal"/>
    <w:next w:val="Normal"/>
    <w:autoRedefine/>
    <w:uiPriority w:val="39"/>
    <w:unhideWhenUsed/>
    <w:rsid w:val="0035115D"/>
    <w:pPr>
      <w:ind w:left="1440"/>
      <w:jc w:val="left"/>
    </w:pPr>
    <w:rPr>
      <w:rFonts w:ascii="Calibri" w:hAnsi="Calibri" w:cs="Calibri"/>
      <w:sz w:val="18"/>
      <w:szCs w:val="18"/>
    </w:rPr>
  </w:style>
  <w:style w:type="paragraph" w:styleId="TOC8">
    <w:name w:val="toc 8"/>
    <w:basedOn w:val="Normal"/>
    <w:next w:val="Normal"/>
    <w:autoRedefine/>
    <w:uiPriority w:val="39"/>
    <w:unhideWhenUsed/>
    <w:rsid w:val="0035115D"/>
    <w:pPr>
      <w:ind w:left="1680"/>
      <w:jc w:val="left"/>
    </w:pPr>
    <w:rPr>
      <w:rFonts w:ascii="Calibri" w:hAnsi="Calibri" w:cs="Calibri"/>
      <w:sz w:val="18"/>
      <w:szCs w:val="18"/>
    </w:rPr>
  </w:style>
  <w:style w:type="paragraph" w:styleId="TOC9">
    <w:name w:val="toc 9"/>
    <w:basedOn w:val="Normal"/>
    <w:next w:val="Normal"/>
    <w:autoRedefine/>
    <w:uiPriority w:val="39"/>
    <w:unhideWhenUsed/>
    <w:rsid w:val="0035115D"/>
    <w:pPr>
      <w:ind w:left="1920"/>
      <w:jc w:val="left"/>
    </w:pPr>
    <w:rPr>
      <w:rFonts w:ascii="Calibri" w:hAnsi="Calibri" w:cs="Calibri"/>
      <w:sz w:val="18"/>
      <w:szCs w:val="18"/>
    </w:rPr>
  </w:style>
  <w:style w:type="table" w:styleId="ColorfulGrid-Accent1">
    <w:name w:val="Colorful Grid Accent 1"/>
    <w:basedOn w:val="TableNormal"/>
    <w:link w:val="ColorfulGrid-Accent1Char"/>
    <w:uiPriority w:val="29"/>
    <w:rsid w:val="0035115D"/>
    <w:rPr>
      <w:i/>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rsid w:val="0035115D"/>
    <w:rPr>
      <w:b/>
      <w:i/>
      <w:sz w:val="24"/>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HEADING">
    <w:name w:val="HEADING"/>
    <w:basedOn w:val="Normal"/>
    <w:link w:val="HEADINGChar"/>
    <w:qFormat/>
    <w:rsid w:val="000F33CF"/>
    <w:rPr>
      <w:b/>
      <w:color w:val="005DA4"/>
    </w:rPr>
  </w:style>
  <w:style w:type="character" w:customStyle="1" w:styleId="MediumShading1-Accent3Char">
    <w:name w:val="Medium Shading 1 - Accent 3 Char"/>
    <w:link w:val="MediumShading1-Accent3"/>
    <w:uiPriority w:val="29"/>
    <w:rsid w:val="00B3748D"/>
    <w:rPr>
      <w:i/>
      <w:sz w:val="24"/>
      <w:szCs w:val="24"/>
    </w:rPr>
  </w:style>
  <w:style w:type="character" w:customStyle="1" w:styleId="HEADINGChar">
    <w:name w:val="HEADING Char"/>
    <w:link w:val="HEADING"/>
    <w:rsid w:val="000F33CF"/>
    <w:rPr>
      <w:rFonts w:ascii="Times New Roman" w:hAnsi="Times New Roman"/>
      <w:b/>
      <w:color w:val="005DA4"/>
      <w:sz w:val="24"/>
      <w:szCs w:val="24"/>
      <w:lang w:eastAsia="en-US"/>
    </w:rPr>
  </w:style>
  <w:style w:type="character" w:customStyle="1" w:styleId="MediumShading2-Accent3Char">
    <w:name w:val="Medium Shading 2 - Accent 3 Char"/>
    <w:link w:val="MediumShading2-Accent3"/>
    <w:uiPriority w:val="30"/>
    <w:rsid w:val="00B3748D"/>
    <w:rPr>
      <w:b/>
      <w:i/>
      <w:sz w:val="24"/>
    </w:rPr>
  </w:style>
  <w:style w:type="table" w:styleId="MediumShading1-Accent3">
    <w:name w:val="Medium Shading 1 Accent 3"/>
    <w:basedOn w:val="TableNormal"/>
    <w:link w:val="MediumShading1-Accent3Char"/>
    <w:uiPriority w:val="29"/>
    <w:rsid w:val="00B3748D"/>
    <w:rPr>
      <w:i/>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30"/>
    <w:rsid w:val="00B3748D"/>
    <w:rPr>
      <w:b/>
      <w:i/>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styleId="EndnoteText">
    <w:name w:val="endnote text"/>
    <w:basedOn w:val="Normal"/>
    <w:link w:val="EndnoteTextChar"/>
    <w:uiPriority w:val="99"/>
    <w:unhideWhenUsed/>
    <w:rsid w:val="005259B6"/>
    <w:pPr>
      <w:jc w:val="left"/>
    </w:pPr>
    <w:rPr>
      <w:rFonts w:ascii="Calibri" w:hAnsi="Calibri"/>
      <w:sz w:val="20"/>
      <w:szCs w:val="20"/>
    </w:rPr>
  </w:style>
  <w:style w:type="character" w:customStyle="1" w:styleId="EndnoteTextChar">
    <w:name w:val="Endnote Text Char"/>
    <w:basedOn w:val="DefaultParagraphFont"/>
    <w:link w:val="EndnoteText"/>
    <w:uiPriority w:val="99"/>
    <w:rsid w:val="005259B6"/>
    <w:rPr>
      <w:lang w:eastAsia="en-US"/>
    </w:rPr>
  </w:style>
  <w:style w:type="character" w:styleId="EndnoteReference">
    <w:name w:val="endnote reference"/>
    <w:basedOn w:val="DefaultParagraphFont"/>
    <w:uiPriority w:val="99"/>
    <w:unhideWhenUsed/>
    <w:rsid w:val="005259B6"/>
    <w:rPr>
      <w:vertAlign w:val="superscript"/>
    </w:rPr>
  </w:style>
  <w:style w:type="character" w:customStyle="1" w:styleId="apple-converted-space">
    <w:name w:val="apple-converted-space"/>
    <w:basedOn w:val="DefaultParagraphFont"/>
    <w:rsid w:val="008B5026"/>
  </w:style>
  <w:style w:type="character" w:customStyle="1" w:styleId="FootnoteTextChar1">
    <w:name w:val="Footnote Text Char1"/>
    <w:uiPriority w:val="99"/>
    <w:locked/>
    <w:rsid w:val="001D419A"/>
    <w:rPr>
      <w:lang w:val="fi-FI" w:eastAsia="it-IT" w:bidi="ar-SA"/>
    </w:rPr>
  </w:style>
  <w:style w:type="paragraph" w:styleId="NormalWeb">
    <w:name w:val="Normal (Web)"/>
    <w:basedOn w:val="Normal"/>
    <w:uiPriority w:val="99"/>
    <w:semiHidden/>
    <w:unhideWhenUsed/>
    <w:rsid w:val="003901D2"/>
    <w:pPr>
      <w:spacing w:before="100" w:beforeAutospacing="1" w:after="100" w:afterAutospacing="1"/>
      <w:jc w:val="left"/>
    </w:pPr>
    <w:rPr>
      <w:rFonts w:eastAsia="Times New Roman"/>
    </w:rPr>
  </w:style>
  <w:style w:type="paragraph" w:customStyle="1" w:styleId="Style1">
    <w:name w:val="Style1"/>
    <w:basedOn w:val="EndnoteText"/>
    <w:qFormat/>
    <w:rsid w:val="00617099"/>
    <w:pPr>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52466">
      <w:bodyDiv w:val="1"/>
      <w:marLeft w:val="0"/>
      <w:marRight w:val="0"/>
      <w:marTop w:val="0"/>
      <w:marBottom w:val="0"/>
      <w:divBdr>
        <w:top w:val="none" w:sz="0" w:space="0" w:color="auto"/>
        <w:left w:val="none" w:sz="0" w:space="0" w:color="auto"/>
        <w:bottom w:val="none" w:sz="0" w:space="0" w:color="auto"/>
        <w:right w:val="none" w:sz="0" w:space="0" w:color="auto"/>
      </w:divBdr>
      <w:divsChild>
        <w:div w:id="815604007">
          <w:marLeft w:val="0"/>
          <w:marRight w:val="0"/>
          <w:marTop w:val="25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dps.europ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edps.europa.eu/sites/edp/files/publication/19-04-02_edps_opinion_budapest_convention_en.pdf" TargetMode="External"/><Relationship Id="rId1" Type="http://schemas.openxmlformats.org/officeDocument/2006/relationships/hyperlink" Target="https://edps.europa.eu/sites/edp/files/publication/19-04-02_edps_opinion_on_eu_us_agreement_on_e-evidenc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Amanda Joyce"/>
    <f:field ref="casefile_EDPSOM_103_3700_FieldCaseNumber" par="" text="2019-0881"/>
    <f:field ref="casefile_EDPSOM_103_3700_FieldTitle" par="" text="Passenger Name Record (PNR) data transfer negotiations with Japan"/>
    <f:field ref="casefile_EDPSOM_103_3700_FieldClass" par="" text="04.01.03 Consultation on international agreements"/>
    <f:field ref="casefile_EDPSOM_103_3700_FieldInitiator" par="" text="EDPS"/>
    <f:field ref="casefile_EDPSOM_103_3700_FieldInterinstitutional" par="" text=""/>
    <f:field ref="EDPSOM_103_3700_FieldSensitivity" par="" text="Normal"/>
    <f:field ref="EDPSOM_103_3700_FieldExternalRef" par="" text="" edit="true"/>
    <f:field ref="EDPSOM_103_3700_FieldDescription" par="" text="" edit="true"/>
    <f:field ref="objname" par="" text="Opinion_Recommendation_PNR_Japan_fin" edit="true"/>
    <f:field ref="objsubject" par="" text="" edit="true"/>
    <f:field ref="objcreatedby" par="" text="Angelov, Plamen"/>
    <f:field ref="objcreatedat" par="" date="2019-10-24T10:39:03" text="Oct 24, 2019 10:39:03 AM"/>
    <f:field ref="objchangedby" par="" text="Angelov, Plamen"/>
    <f:field ref="objmodifiedat" par="" date="2019-10-24T16:47:31" text="Oct 24, 2019 4:47:31 PM"/>
  </f:record>
  <f:display par="" text="Mail Merge">
    <f:field ref="doc_FSCFOLIO_1_1001_FieldDocumentNumber" text="Document Number"/>
    <f:field ref="doc_FSCFOLIO_1_1001_FieldSubject" text="Subject"/>
  </f:display>
  <f:display par="" text="Signatures">
    <f:field ref="FSCFOLIO_1_1001_SignaturesFldCtx_FSCFOLIO_1_1001_FieldLastSignature" text="Last Signature"/>
    <f:field ref="FSCFOLIO_1_1001_SignaturesFldCtx_FSCFOLIO_1_1001_FieldLastSignatureBy" text="Last Signature By"/>
    <f:field ref="FSCFOLIO_1_1001_SignaturesFldCtx_FSCFOLIO_1_1001_FieldLastSignatureAt" text="Last Signature on/at"/>
    <f:field ref="FSCFOLIO_1_1001_SignaturesFldCtx_FSCFOLIO_1_1001_FieldLastSignatureRemark" text="Remark of Last Signature"/>
  </f:display>
  <f:display par="" text="General">
    <f:field ref="FSCFOLIO_1_1001_FieldCurrentUser" text="Current User"/>
    <f:field ref="EDPSOM_103_3700_FieldSensitivity" text="Sensitivity"/>
    <f:field ref="EDPSOM_103_3700_FieldExternalRef" text="Sender's reference"/>
    <f:field ref="EDPSOM_103_3700_FieldDescription" text="Description"/>
    <f:field ref="objname" text="Name"/>
    <f:field ref="objsubject" text="Subject"/>
    <f:field ref="objcreatedby" text="Created by"/>
    <f:field ref="objcreatedat" text="Created on/at"/>
    <f:field ref="objchangedby" text="Last Change by"/>
    <f:field ref="objmodifiedat" text="Last Change on/at"/>
  </f:display>
  <f:display par="" text="Case file">
    <f:field ref="casefile_EDPSOM_103_3700_FieldCaseNumber" text="Case number"/>
    <f:field ref="casefile_EDPSOM_103_3700_FieldTitle" text="Title"/>
    <f:field ref="casefile_EDPSOM_103_3700_FieldClass" text="Class"/>
    <f:field ref="casefile_EDPSOM_103_3700_FieldInitiator" text="Initiator"/>
    <f:field ref="casefile_EDPSOM_103_3700_FieldInterinstitutional" text="Interinstitutional numb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4B905CD-199D-4042-A3EB-26190303E057}">
  <ds:schemaRefs>
    <ds:schemaRef ds:uri="http://schemas.openxmlformats.org/officeDocument/2006/bibliography"/>
  </ds:schemaRefs>
</ds:datastoreItem>
</file>

<file path=customXml/itemProps3.xml><?xml version="1.0" encoding="utf-8"?>
<ds:datastoreItem xmlns:ds="http://schemas.openxmlformats.org/officeDocument/2006/customXml" ds:itemID="{F8F64B74-AE81-4E4E-B6DF-034B2DC72404}">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8</ap:TotalTime>
  <ap:Pages>1</ap:Pages>
  <ap:Words>1681</ap:Words>
  <ap:Characters>9588</ap:Characters>
  <ap:Application>Microsoft Office Word</ap:Application>
  <ap:DocSecurity>0</ap:DocSecurity>
  <ap:Lines>79</ap:Lines>
  <ap:Paragraphs>22</ap:Paragraphs>
  <ap:ScaleCrop>false</ap:ScaleCrop>
  <ap:HeadingPairs>
    <vt:vector baseType="variant" size="4">
      <vt:variant>
        <vt:lpstr>Title</vt:lpstr>
      </vt:variant>
      <vt:variant>
        <vt:i4>1</vt:i4>
      </vt:variant>
      <vt:variant>
        <vt:lpstr>Titolo</vt:lpstr>
      </vt:variant>
      <vt:variant>
        <vt:i4>1</vt:i4>
      </vt:variant>
    </vt:vector>
  </ap:HeadingPairs>
  <ap:TitlesOfParts>
    <vt:vector baseType="lpstr" size="2">
      <vt:lpstr/>
      <vt:lpstr/>
    </vt:vector>
  </ap:TitlesOfParts>
  <ap:Company>CDT</ap:Company>
  <ap:LinksUpToDate>false</ap:LinksUpToDate>
  <ap:CharactersWithSpaces>11247</ap:CharactersWithSpaces>
  <ap:SharedDoc>false</ap:SharedDoc>
  <ap:HLinks>
    <vt:vector baseType="variant" size="222">
      <vt:variant>
        <vt:i4>1245246</vt:i4>
      </vt:variant>
      <vt:variant>
        <vt:i4>146</vt:i4>
      </vt:variant>
      <vt:variant>
        <vt:i4>0</vt:i4>
      </vt:variant>
      <vt:variant>
        <vt:i4>5</vt:i4>
      </vt:variant>
      <vt:variant>
        <vt:lpwstr/>
      </vt:variant>
      <vt:variant>
        <vt:lpwstr>_Toc418070558</vt:lpwstr>
      </vt:variant>
      <vt:variant>
        <vt:i4>1245246</vt:i4>
      </vt:variant>
      <vt:variant>
        <vt:i4>140</vt:i4>
      </vt:variant>
      <vt:variant>
        <vt:i4>0</vt:i4>
      </vt:variant>
      <vt:variant>
        <vt:i4>5</vt:i4>
      </vt:variant>
      <vt:variant>
        <vt:lpwstr/>
      </vt:variant>
      <vt:variant>
        <vt:lpwstr>_Toc418070557</vt:lpwstr>
      </vt:variant>
      <vt:variant>
        <vt:i4>1245246</vt:i4>
      </vt:variant>
      <vt:variant>
        <vt:i4>134</vt:i4>
      </vt:variant>
      <vt:variant>
        <vt:i4>0</vt:i4>
      </vt:variant>
      <vt:variant>
        <vt:i4>5</vt:i4>
      </vt:variant>
      <vt:variant>
        <vt:lpwstr/>
      </vt:variant>
      <vt:variant>
        <vt:lpwstr>_Toc418070556</vt:lpwstr>
      </vt:variant>
      <vt:variant>
        <vt:i4>1245246</vt:i4>
      </vt:variant>
      <vt:variant>
        <vt:i4>128</vt:i4>
      </vt:variant>
      <vt:variant>
        <vt:i4>0</vt:i4>
      </vt:variant>
      <vt:variant>
        <vt:i4>5</vt:i4>
      </vt:variant>
      <vt:variant>
        <vt:lpwstr/>
      </vt:variant>
      <vt:variant>
        <vt:lpwstr>_Toc418070555</vt:lpwstr>
      </vt:variant>
      <vt:variant>
        <vt:i4>1245246</vt:i4>
      </vt:variant>
      <vt:variant>
        <vt:i4>122</vt:i4>
      </vt:variant>
      <vt:variant>
        <vt:i4>0</vt:i4>
      </vt:variant>
      <vt:variant>
        <vt:i4>5</vt:i4>
      </vt:variant>
      <vt:variant>
        <vt:lpwstr/>
      </vt:variant>
      <vt:variant>
        <vt:lpwstr>_Toc418070554</vt:lpwstr>
      </vt:variant>
      <vt:variant>
        <vt:i4>1245246</vt:i4>
      </vt:variant>
      <vt:variant>
        <vt:i4>116</vt:i4>
      </vt:variant>
      <vt:variant>
        <vt:i4>0</vt:i4>
      </vt:variant>
      <vt:variant>
        <vt:i4>5</vt:i4>
      </vt:variant>
      <vt:variant>
        <vt:lpwstr/>
      </vt:variant>
      <vt:variant>
        <vt:lpwstr>_Toc418070553</vt:lpwstr>
      </vt:variant>
      <vt:variant>
        <vt:i4>1245246</vt:i4>
      </vt:variant>
      <vt:variant>
        <vt:i4>110</vt:i4>
      </vt:variant>
      <vt:variant>
        <vt:i4>0</vt:i4>
      </vt:variant>
      <vt:variant>
        <vt:i4>5</vt:i4>
      </vt:variant>
      <vt:variant>
        <vt:lpwstr/>
      </vt:variant>
      <vt:variant>
        <vt:lpwstr>_Toc418070552</vt:lpwstr>
      </vt:variant>
      <vt:variant>
        <vt:i4>1245246</vt:i4>
      </vt:variant>
      <vt:variant>
        <vt:i4>104</vt:i4>
      </vt:variant>
      <vt:variant>
        <vt:i4>0</vt:i4>
      </vt:variant>
      <vt:variant>
        <vt:i4>5</vt:i4>
      </vt:variant>
      <vt:variant>
        <vt:lpwstr/>
      </vt:variant>
      <vt:variant>
        <vt:lpwstr>_Toc418070551</vt:lpwstr>
      </vt:variant>
      <vt:variant>
        <vt:i4>1245246</vt:i4>
      </vt:variant>
      <vt:variant>
        <vt:i4>98</vt:i4>
      </vt:variant>
      <vt:variant>
        <vt:i4>0</vt:i4>
      </vt:variant>
      <vt:variant>
        <vt:i4>5</vt:i4>
      </vt:variant>
      <vt:variant>
        <vt:lpwstr/>
      </vt:variant>
      <vt:variant>
        <vt:lpwstr>_Toc418070550</vt:lpwstr>
      </vt:variant>
      <vt:variant>
        <vt:i4>1179710</vt:i4>
      </vt:variant>
      <vt:variant>
        <vt:i4>92</vt:i4>
      </vt:variant>
      <vt:variant>
        <vt:i4>0</vt:i4>
      </vt:variant>
      <vt:variant>
        <vt:i4>5</vt:i4>
      </vt:variant>
      <vt:variant>
        <vt:lpwstr/>
      </vt:variant>
      <vt:variant>
        <vt:lpwstr>_Toc418070549</vt:lpwstr>
      </vt:variant>
      <vt:variant>
        <vt:i4>1179710</vt:i4>
      </vt:variant>
      <vt:variant>
        <vt:i4>86</vt:i4>
      </vt:variant>
      <vt:variant>
        <vt:i4>0</vt:i4>
      </vt:variant>
      <vt:variant>
        <vt:i4>5</vt:i4>
      </vt:variant>
      <vt:variant>
        <vt:lpwstr/>
      </vt:variant>
      <vt:variant>
        <vt:lpwstr>_Toc418070548</vt:lpwstr>
      </vt:variant>
      <vt:variant>
        <vt:i4>1179710</vt:i4>
      </vt:variant>
      <vt:variant>
        <vt:i4>80</vt:i4>
      </vt:variant>
      <vt:variant>
        <vt:i4>0</vt:i4>
      </vt:variant>
      <vt:variant>
        <vt:i4>5</vt:i4>
      </vt:variant>
      <vt:variant>
        <vt:lpwstr/>
      </vt:variant>
      <vt:variant>
        <vt:lpwstr>_Toc418070547</vt:lpwstr>
      </vt:variant>
      <vt:variant>
        <vt:i4>1179710</vt:i4>
      </vt:variant>
      <vt:variant>
        <vt:i4>74</vt:i4>
      </vt:variant>
      <vt:variant>
        <vt:i4>0</vt:i4>
      </vt:variant>
      <vt:variant>
        <vt:i4>5</vt:i4>
      </vt:variant>
      <vt:variant>
        <vt:lpwstr/>
      </vt:variant>
      <vt:variant>
        <vt:lpwstr>_Toc418070546</vt:lpwstr>
      </vt:variant>
      <vt:variant>
        <vt:i4>1179710</vt:i4>
      </vt:variant>
      <vt:variant>
        <vt:i4>68</vt:i4>
      </vt:variant>
      <vt:variant>
        <vt:i4>0</vt:i4>
      </vt:variant>
      <vt:variant>
        <vt:i4>5</vt:i4>
      </vt:variant>
      <vt:variant>
        <vt:lpwstr/>
      </vt:variant>
      <vt:variant>
        <vt:lpwstr>_Toc418070545</vt:lpwstr>
      </vt:variant>
      <vt:variant>
        <vt:i4>1179710</vt:i4>
      </vt:variant>
      <vt:variant>
        <vt:i4>62</vt:i4>
      </vt:variant>
      <vt:variant>
        <vt:i4>0</vt:i4>
      </vt:variant>
      <vt:variant>
        <vt:i4>5</vt:i4>
      </vt:variant>
      <vt:variant>
        <vt:lpwstr/>
      </vt:variant>
      <vt:variant>
        <vt:lpwstr>_Toc418070544</vt:lpwstr>
      </vt:variant>
      <vt:variant>
        <vt:i4>1179710</vt:i4>
      </vt:variant>
      <vt:variant>
        <vt:i4>56</vt:i4>
      </vt:variant>
      <vt:variant>
        <vt:i4>0</vt:i4>
      </vt:variant>
      <vt:variant>
        <vt:i4>5</vt:i4>
      </vt:variant>
      <vt:variant>
        <vt:lpwstr/>
      </vt:variant>
      <vt:variant>
        <vt:lpwstr>_Toc418070543</vt:lpwstr>
      </vt:variant>
      <vt:variant>
        <vt:i4>1179710</vt:i4>
      </vt:variant>
      <vt:variant>
        <vt:i4>50</vt:i4>
      </vt:variant>
      <vt:variant>
        <vt:i4>0</vt:i4>
      </vt:variant>
      <vt:variant>
        <vt:i4>5</vt:i4>
      </vt:variant>
      <vt:variant>
        <vt:lpwstr/>
      </vt:variant>
      <vt:variant>
        <vt:lpwstr>_Toc418070542</vt:lpwstr>
      </vt:variant>
      <vt:variant>
        <vt:i4>1179710</vt:i4>
      </vt:variant>
      <vt:variant>
        <vt:i4>44</vt:i4>
      </vt:variant>
      <vt:variant>
        <vt:i4>0</vt:i4>
      </vt:variant>
      <vt:variant>
        <vt:i4>5</vt:i4>
      </vt:variant>
      <vt:variant>
        <vt:lpwstr/>
      </vt:variant>
      <vt:variant>
        <vt:lpwstr>_Toc418070541</vt:lpwstr>
      </vt:variant>
      <vt:variant>
        <vt:i4>1179710</vt:i4>
      </vt:variant>
      <vt:variant>
        <vt:i4>38</vt:i4>
      </vt:variant>
      <vt:variant>
        <vt:i4>0</vt:i4>
      </vt:variant>
      <vt:variant>
        <vt:i4>5</vt:i4>
      </vt:variant>
      <vt:variant>
        <vt:lpwstr/>
      </vt:variant>
      <vt:variant>
        <vt:lpwstr>_Toc418070540</vt:lpwstr>
      </vt:variant>
      <vt:variant>
        <vt:i4>1376318</vt:i4>
      </vt:variant>
      <vt:variant>
        <vt:i4>32</vt:i4>
      </vt:variant>
      <vt:variant>
        <vt:i4>0</vt:i4>
      </vt:variant>
      <vt:variant>
        <vt:i4>5</vt:i4>
      </vt:variant>
      <vt:variant>
        <vt:lpwstr/>
      </vt:variant>
      <vt:variant>
        <vt:lpwstr>_Toc418070539</vt:lpwstr>
      </vt:variant>
      <vt:variant>
        <vt:i4>1376318</vt:i4>
      </vt:variant>
      <vt:variant>
        <vt:i4>26</vt:i4>
      </vt:variant>
      <vt:variant>
        <vt:i4>0</vt:i4>
      </vt:variant>
      <vt:variant>
        <vt:i4>5</vt:i4>
      </vt:variant>
      <vt:variant>
        <vt:lpwstr/>
      </vt:variant>
      <vt:variant>
        <vt:lpwstr>_Toc418070538</vt:lpwstr>
      </vt:variant>
      <vt:variant>
        <vt:i4>1376318</vt:i4>
      </vt:variant>
      <vt:variant>
        <vt:i4>20</vt:i4>
      </vt:variant>
      <vt:variant>
        <vt:i4>0</vt:i4>
      </vt:variant>
      <vt:variant>
        <vt:i4>5</vt:i4>
      </vt:variant>
      <vt:variant>
        <vt:lpwstr/>
      </vt:variant>
      <vt:variant>
        <vt:lpwstr>_Toc418070537</vt:lpwstr>
      </vt:variant>
      <vt:variant>
        <vt:i4>1376318</vt:i4>
      </vt:variant>
      <vt:variant>
        <vt:i4>14</vt:i4>
      </vt:variant>
      <vt:variant>
        <vt:i4>0</vt:i4>
      </vt:variant>
      <vt:variant>
        <vt:i4>5</vt:i4>
      </vt:variant>
      <vt:variant>
        <vt:lpwstr/>
      </vt:variant>
      <vt:variant>
        <vt:lpwstr>_Toc418070536</vt:lpwstr>
      </vt:variant>
      <vt:variant>
        <vt:i4>1376318</vt:i4>
      </vt:variant>
      <vt:variant>
        <vt:i4>8</vt:i4>
      </vt:variant>
      <vt:variant>
        <vt:i4>0</vt:i4>
      </vt:variant>
      <vt:variant>
        <vt:i4>5</vt:i4>
      </vt:variant>
      <vt:variant>
        <vt:lpwstr/>
      </vt:variant>
      <vt:variant>
        <vt:lpwstr>_Toc418070535</vt:lpwstr>
      </vt:variant>
      <vt:variant>
        <vt:i4>1376318</vt:i4>
      </vt:variant>
      <vt:variant>
        <vt:i4>2</vt:i4>
      </vt:variant>
      <vt:variant>
        <vt:i4>0</vt:i4>
      </vt:variant>
      <vt:variant>
        <vt:i4>5</vt:i4>
      </vt:variant>
      <vt:variant>
        <vt:lpwstr/>
      </vt:variant>
      <vt:variant>
        <vt:lpwstr>_Toc418070534</vt:lpwstr>
      </vt:variant>
      <vt:variant>
        <vt:i4>2686982</vt:i4>
      </vt:variant>
      <vt:variant>
        <vt:i4>33</vt:i4>
      </vt:variant>
      <vt:variant>
        <vt:i4>0</vt:i4>
      </vt:variant>
      <vt:variant>
        <vt:i4>5</vt:i4>
      </vt:variant>
      <vt:variant>
        <vt:lpwstr>http://idpc.gov.mt/dbfile.aspx/Opinion3_2013.pdf</vt:lpwstr>
      </vt:variant>
      <vt:variant>
        <vt:lpwstr/>
      </vt:variant>
      <vt:variant>
        <vt:i4>524333</vt:i4>
      </vt:variant>
      <vt:variant>
        <vt:i4>30</vt:i4>
      </vt:variant>
      <vt:variant>
        <vt:i4>0</vt:i4>
      </vt:variant>
      <vt:variant>
        <vt:i4>5</vt:i4>
      </vt:variant>
      <vt:variant>
        <vt:lpwstr>http://ec.europa.eu/justice/policies/privacy/docs/wpdocs/2010/wp169_en.pdf</vt:lpwstr>
      </vt:variant>
      <vt:variant>
        <vt:lpwstr/>
      </vt:variant>
      <vt:variant>
        <vt:i4>2359380</vt:i4>
      </vt:variant>
      <vt:variant>
        <vt:i4>27</vt:i4>
      </vt:variant>
      <vt:variant>
        <vt:i4>0</vt:i4>
      </vt:variant>
      <vt:variant>
        <vt:i4>5</vt:i4>
      </vt:variant>
      <vt:variant>
        <vt:lpwstr>http://ec.europa.eu/justice/data-protection/article-29/documentation/opinion-recommendation/index_en.htm</vt:lpwstr>
      </vt:variant>
      <vt:variant>
        <vt:lpwstr/>
      </vt:variant>
      <vt:variant>
        <vt:i4>6</vt:i4>
      </vt:variant>
      <vt:variant>
        <vt:i4>24</vt:i4>
      </vt:variant>
      <vt:variant>
        <vt:i4>0</vt:i4>
      </vt:variant>
      <vt:variant>
        <vt:i4>5</vt:i4>
      </vt:variant>
      <vt:variant>
        <vt:lpwstr>https://secure.edps.europa.eu/EDPSWEB/edps/EDPS/IPEN</vt:lpwstr>
      </vt:variant>
      <vt:variant>
        <vt:lpwstr/>
      </vt:variant>
      <vt:variant>
        <vt:i4>6619210</vt:i4>
      </vt:variant>
      <vt:variant>
        <vt:i4>21</vt:i4>
      </vt:variant>
      <vt:variant>
        <vt:i4>0</vt:i4>
      </vt:variant>
      <vt:variant>
        <vt:i4>5</vt:i4>
      </vt:variant>
      <vt:variant>
        <vt:lpwstr>http://www.enisa.europa.eu/activities/Resilience-and-CIIP/critical-applications/smartphone-security-1/smartphone-secure-development-guidelines/at_download/fullReport</vt:lpwstr>
      </vt:variant>
      <vt:variant>
        <vt:lpwstr/>
      </vt:variant>
      <vt:variant>
        <vt:i4>2818081</vt:i4>
      </vt:variant>
      <vt:variant>
        <vt:i4>18</vt:i4>
      </vt:variant>
      <vt:variant>
        <vt:i4>0</vt:i4>
      </vt:variant>
      <vt:variant>
        <vt:i4>5</vt:i4>
      </vt:variant>
      <vt:variant>
        <vt:lpwstr>https://wcd.coe.int/ViewDoc.jsp?id=1710949</vt:lpwstr>
      </vt:variant>
      <vt:variant>
        <vt:lpwstr/>
      </vt:variant>
      <vt:variant>
        <vt:i4>7471151</vt:i4>
      </vt:variant>
      <vt:variant>
        <vt:i4>15</vt:i4>
      </vt:variant>
      <vt:variant>
        <vt:i4>0</vt:i4>
      </vt:variant>
      <vt:variant>
        <vt:i4>5</vt:i4>
      </vt:variant>
      <vt:variant>
        <vt:lpwstr>http://online.wsj.com/article/SB10001424052748704694004576020083703574602.html</vt:lpwstr>
      </vt:variant>
      <vt:variant>
        <vt:lpwstr/>
      </vt:variant>
      <vt:variant>
        <vt:i4>5701635</vt:i4>
      </vt:variant>
      <vt:variant>
        <vt:i4>12</vt:i4>
      </vt:variant>
      <vt:variant>
        <vt:i4>0</vt:i4>
      </vt:variant>
      <vt:variant>
        <vt:i4>5</vt:i4>
      </vt:variant>
      <vt:variant>
        <vt:lpwstr>http://ec.europa.eu/justice/data-protection/article-29/documentation/other-document/files/2015/20150205_letter_art29wp_ec_health_data_after_plenary_en.pdf</vt:lpwstr>
      </vt:variant>
      <vt:variant>
        <vt:lpwstr/>
      </vt:variant>
      <vt:variant>
        <vt:i4>6291531</vt:i4>
      </vt:variant>
      <vt:variant>
        <vt:i4>9</vt:i4>
      </vt:variant>
      <vt:variant>
        <vt:i4>0</vt:i4>
      </vt:variant>
      <vt:variant>
        <vt:i4>5</vt:i4>
      </vt:variant>
      <vt:variant>
        <vt:lpwstr>http://ec.europa.eu/justice/data-protection/article-29/documentation/opinion-recommendation/files/2014/wp216_en.pdf</vt:lpwstr>
      </vt:variant>
      <vt:variant>
        <vt:lpwstr/>
      </vt:variant>
      <vt:variant>
        <vt:i4>786469</vt:i4>
      </vt:variant>
      <vt:variant>
        <vt:i4>6</vt:i4>
      </vt:variant>
      <vt:variant>
        <vt:i4>0</vt:i4>
      </vt:variant>
      <vt:variant>
        <vt:i4>5</vt:i4>
      </vt:variant>
      <vt:variant>
        <vt:lpwstr>http://ec.europa.eu/justice/policies/privacy/docs/wpdocs/2007/wp136_en.pdf</vt:lpwstr>
      </vt:variant>
      <vt:variant>
        <vt:lpwstr/>
      </vt:variant>
      <vt:variant>
        <vt:i4>4522036</vt:i4>
      </vt:variant>
      <vt:variant>
        <vt:i4>3</vt:i4>
      </vt:variant>
      <vt:variant>
        <vt:i4>0</vt:i4>
      </vt:variant>
      <vt:variant>
        <vt:i4>5</vt:i4>
      </vt:variant>
      <vt:variant>
        <vt:lpwstr>https://secure.edps.europa.eu/EDPSWEB/webdav/site/mySite/shared/Documents/Consultation/Thematic%20Guidelines/14-11-25_Financial_Guidelines_EN.pdf</vt:lpwstr>
      </vt:variant>
      <vt:variant>
        <vt:lpwstr/>
      </vt:variant>
      <vt:variant>
        <vt:i4>6488138</vt:i4>
      </vt:variant>
      <vt:variant>
        <vt:i4>0</vt:i4>
      </vt:variant>
      <vt:variant>
        <vt:i4>0</vt:i4>
      </vt:variant>
      <vt:variant>
        <vt:i4>5</vt:i4>
      </vt:variant>
      <vt:variant>
        <vt:lpwstr>http://ec.europa.eu/justice/data-protection/article-29/documentation/opinion-recommendation/files/2013/wp202_en.pdf</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12</revision>
  <lastPrinted>2019-10-24T14:21:00.0000000Z</lastPrinted>
  <dcterms:created xsi:type="dcterms:W3CDTF">2019-10-25T09:45:00.0000000Z</dcterms:created>
  <dcterms:modified xsi:type="dcterms:W3CDTF">2019-11-08T13:41:00.0000000Z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DPSOM@103.3700:edpscasenumber">
    <vt:lpwstr>2019-0881</vt:lpwstr>
  </property>
  <property fmtid="{D5CDD505-2E9C-101B-9397-08002B2CF9AE}" pid="3" name="FSC#EDPSOM@103.3700:edpscasetitle">
    <vt:lpwstr>Passenger Name Record (PNR) data transfer negotiations with Japan</vt:lpwstr>
  </property>
  <property fmtid="{D5CDD505-2E9C-101B-9397-08002B2CF9AE}" pid="4" name="FSC#EDPSOM@103.3700:edpscasedescription">
    <vt:lpwstr>Passenger Name Record (PNR) data transfer negotiations with Japan</vt:lpwstr>
  </property>
  <property fmtid="{D5CDD505-2E9C-101B-9397-08002B2CF9AE}" pid="5" name="FSC#EDPSOM@103.3700:edpsarrivalnumber">
    <vt:lpwstr/>
  </property>
  <property fmtid="{D5CDD505-2E9C-101B-9397-08002B2CF9AE}" pid="6" name="FSC#EDPSOM@103.3700:edpsdeparturenumber">
    <vt:lpwstr/>
  </property>
  <property fmtid="{D5CDD505-2E9C-101B-9397-08002B2CF9AE}" pid="7" name="FSC#COOSYSTEM@1.1:Container">
    <vt:lpwstr>COO.6515.100.4.380260</vt:lpwstr>
  </property>
  <property fmtid="{D5CDD505-2E9C-101B-9397-08002B2CF9AE}" pid="8" name="FSC#FSCFOLIO@1.1001:docpropproject">
    <vt:lpwstr/>
  </property>
</Properties>
</file>