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7761" w:rsidR="00993934" w:rsidP="00306297" w:rsidRDefault="00993934" w14:paraId="3AA01DBC" w14:textId="7167B3F8">
      <w:pPr>
        <w:rPr>
          <w:b/>
          <w:i/>
        </w:rPr>
      </w:pPr>
      <w:proofErr w:type="spellStart"/>
      <w:r w:rsidRPr="001A7761">
        <w:rPr>
          <w:b/>
        </w:rPr>
        <w:t>Sommarju</w:t>
      </w:r>
      <w:proofErr w:type="spellEnd"/>
      <w:r w:rsidRPr="001A7761">
        <w:rPr>
          <w:b/>
        </w:rPr>
        <w:t xml:space="preserve"> tal-Opinjoni tal-Kontrollur Ewropew għall-Protezzjoni tad-Data dwar il-mandat għan-negozjar ta’ Ftehim bejn l-UE u l-Ġappun għat-trasferiment u l-użu tad-data tar-Reġistru tal-Ismijiet tal-Passiġġieri</w:t>
      </w:r>
    </w:p>
    <w:p w:rsidRPr="001A7761" w:rsidR="00993934" w:rsidP="00306297" w:rsidRDefault="00993934" w14:paraId="3B817892" w14:textId="77777777">
      <w:pPr>
        <w:rPr>
          <w:i/>
        </w:rPr>
      </w:pPr>
    </w:p>
    <w:p w:rsidRPr="001A7761" w:rsidR="00993934" w:rsidP="00993934" w:rsidRDefault="00993934" w14:paraId="2E31B8C9" w14:textId="77777777">
      <w:pPr>
        <w:rPr>
          <w:i/>
        </w:rPr>
      </w:pPr>
      <w:r w:rsidRPr="001A7761">
        <w:rPr>
          <w:i/>
        </w:rPr>
        <w:t xml:space="preserve">[It-test sħiħ ta’ din l-Opinjoni jista’ jinstab </w:t>
      </w:r>
      <w:proofErr w:type="spellStart"/>
      <w:r w:rsidRPr="001A7761">
        <w:rPr>
          <w:i/>
        </w:rPr>
        <w:t>bl</w:t>
      </w:r>
      <w:proofErr w:type="spellEnd"/>
      <w:r w:rsidRPr="001A7761">
        <w:rPr>
          <w:i/>
        </w:rPr>
        <w:t xml:space="preserve">-EN, </w:t>
      </w:r>
      <w:proofErr w:type="spellStart"/>
      <w:r w:rsidRPr="001A7761">
        <w:rPr>
          <w:i/>
        </w:rPr>
        <w:t>bil</w:t>
      </w:r>
      <w:proofErr w:type="spellEnd"/>
      <w:r w:rsidRPr="001A7761">
        <w:rPr>
          <w:i/>
        </w:rPr>
        <w:t xml:space="preserve">-FR u </w:t>
      </w:r>
      <w:proofErr w:type="spellStart"/>
      <w:r w:rsidRPr="001A7761">
        <w:rPr>
          <w:i/>
        </w:rPr>
        <w:t>bil</w:t>
      </w:r>
      <w:proofErr w:type="spellEnd"/>
      <w:r w:rsidRPr="001A7761">
        <w:rPr>
          <w:i/>
        </w:rPr>
        <w:t xml:space="preserve">-DE fuq is-sit web tal-EDPS </w:t>
      </w:r>
      <w:hyperlink w:history="1" r:id="rId10">
        <w:r w:rsidRPr="001A7761">
          <w:rPr>
            <w:rStyle w:val="Hyperlink"/>
            <w:i/>
          </w:rPr>
          <w:t>www.edps.europa.eu</w:t>
        </w:r>
      </w:hyperlink>
      <w:r w:rsidRPr="001A7761">
        <w:rPr>
          <w:i/>
        </w:rPr>
        <w:t>]</w:t>
      </w:r>
    </w:p>
    <w:p w:rsidRPr="001A7761" w:rsidR="00993934" w:rsidP="00306297" w:rsidRDefault="00993934" w14:paraId="56FC0468" w14:textId="77777777">
      <w:pPr>
        <w:rPr>
          <w:b/>
          <w:color w:val="005DA4"/>
        </w:rPr>
      </w:pPr>
    </w:p>
    <w:p w:rsidRPr="001A7761" w:rsidR="0010766F" w:rsidP="00993934" w:rsidRDefault="0010766F" w14:paraId="22479FE6" w14:textId="5A1B18ED">
      <w:pPr>
        <w:spacing w:after="200"/>
      </w:pPr>
      <w:r w:rsidRPr="001A7761">
        <w:t xml:space="preserve">Fis-27 ta’ Settembru 2019, il-Kummissjoni Ewropea adottat Rakkomandazzjoni għal Deċiżjoni tal-Kunsill li tawtorizza l-ftuħ ta’ negozjati għal ftehim bejn l-Unjoni Ewropea u l-Ġappun għat-trasferiment u l-użu tad-data tar-Reġistru tal-Ismijiet tal-Passiġġieri (PNR) għall-prevenzjoni u l-ġlieda kontra t-terroriżmu u kriminalità </w:t>
      </w:r>
      <w:proofErr w:type="spellStart"/>
      <w:r w:rsidRPr="001A7761">
        <w:t>transnazzjonali</w:t>
      </w:r>
      <w:proofErr w:type="spellEnd"/>
      <w:r w:rsidRPr="001A7761">
        <w:t xml:space="preserve"> serja oħra. L-għan tal-Ftehim previst huwa li jistabbilixxi l-bażi legali u l-kundizzjonijiet li </w:t>
      </w:r>
      <w:proofErr w:type="spellStart"/>
      <w:r w:rsidRPr="001A7761">
        <w:t>skonthom</w:t>
      </w:r>
      <w:proofErr w:type="spellEnd"/>
      <w:r w:rsidRPr="001A7761">
        <w:t xml:space="preserve"> il-kumpaniji tat-trasport tal-ajru jkunu awtorizzati jittrasferixxu lejn il-Ġappun id-data tal-PNR tal-passiġġieri li jtiru bejn l-UE u l-Ġappun, f’</w:t>
      </w:r>
      <w:proofErr w:type="spellStart"/>
      <w:r w:rsidRPr="001A7761">
        <w:t>konformità</w:t>
      </w:r>
      <w:proofErr w:type="spellEnd"/>
      <w:r w:rsidRPr="001A7761">
        <w:t xml:space="preserve"> mar-rekwiżiti tal-liġi tal-UE, inkluża l-Karta tad-Drittijiet Fundamentali tal-UE.</w:t>
      </w:r>
    </w:p>
    <w:p w:rsidRPr="001A7761" w:rsidR="00303072" w:rsidP="00993934" w:rsidRDefault="00303072" w14:paraId="75FC61D9" w14:textId="556B0E90">
      <w:pPr>
        <w:spacing w:after="200"/>
      </w:pPr>
      <w:r w:rsidRPr="001A7761">
        <w:t xml:space="preserve">L-EDPS jilqa’ l-fatt li l-mandat għan-negozjar għandu l-għan li jiżgura r-rispett sħiħ għad-drittijiet u l-libertajiet fundamentali </w:t>
      </w:r>
      <w:proofErr w:type="spellStart"/>
      <w:r w:rsidRPr="001A7761">
        <w:t>minquxa</w:t>
      </w:r>
      <w:proofErr w:type="spellEnd"/>
      <w:r w:rsidRPr="001A7761">
        <w:t xml:space="preserve"> fl-Artikolu 7 u fl-Artikolu 8 tal-Karta tad-Drittijiet Fundamentali tal-UE, kif ukoll għall-prinċipji ta’ ħtieġa u </w:t>
      </w:r>
      <w:proofErr w:type="spellStart"/>
      <w:r w:rsidRPr="001A7761">
        <w:t>proporzjonalità</w:t>
      </w:r>
      <w:proofErr w:type="spellEnd"/>
      <w:r w:rsidRPr="001A7761">
        <w:t>, kif interpretati mill-Qorti tal-Ġustizzja fl-Opinjoni 1/15 tagħha dwar il-Ftehim dwar il-PNR UE-Kanada.</w:t>
      </w:r>
    </w:p>
    <w:p w:rsidRPr="001A7761" w:rsidR="0010766F" w:rsidP="00993934" w:rsidRDefault="00FC1F8F" w14:paraId="67D55334" w14:textId="3CE3783A">
      <w:pPr>
        <w:spacing w:after="200"/>
      </w:pPr>
      <w:r w:rsidRPr="001A7761">
        <w:t xml:space="preserve">Minħabba l-impatt tal-ftehim previst fuq id-drittijiet fundamentali ta’ numru kbir ħafna ta’ individwi mhux </w:t>
      </w:r>
      <w:proofErr w:type="spellStart"/>
      <w:r w:rsidRPr="001A7761">
        <w:t>implikati</w:t>
      </w:r>
      <w:proofErr w:type="spellEnd"/>
      <w:r w:rsidRPr="001A7761">
        <w:t xml:space="preserve"> f’attività kriminali, l-EDPS jikkunsidra li għandu jkun fih is-salvagwardji sostantivi u proċedurali kollha meħtieġa biex tkun garantita l-</w:t>
      </w:r>
      <w:proofErr w:type="spellStart"/>
      <w:r w:rsidRPr="001A7761">
        <w:t>proporzjonalità</w:t>
      </w:r>
      <w:proofErr w:type="spellEnd"/>
      <w:r w:rsidRPr="001A7761">
        <w:t xml:space="preserve"> tas-sistema tal-PNR u biex jiġu limitati l-interferenza mad-dritt għall-privatezza u l-protezzjoni tad-data għal dak li hu strettament meħtieġ u ġġustifikat mill-interess ġenerali tal-Unjoni. Għal dan il-għan, l-EDPS jagħmel numru ta’ rakkomandazzjonijiet biex itejjeb id-direttivi ta’ negozjar, bħal:</w:t>
      </w:r>
    </w:p>
    <w:p w:rsidRPr="001A7761" w:rsidR="00303072" w:rsidP="00993934" w:rsidRDefault="00303072" w14:paraId="7353752B" w14:textId="46C0C7A7">
      <w:pPr>
        <w:pStyle w:val="ListParagraph"/>
        <w:numPr>
          <w:ilvl w:val="0"/>
          <w:numId w:val="22"/>
        </w:numPr>
      </w:pPr>
      <w:proofErr w:type="spellStart"/>
      <w:r w:rsidRPr="001A7761">
        <w:t>approċċ</w:t>
      </w:r>
      <w:proofErr w:type="spellEnd"/>
      <w:r w:rsidRPr="001A7761">
        <w:t xml:space="preserve"> strett fir-rigward tal-ħtieġa u l-</w:t>
      </w:r>
      <w:proofErr w:type="spellStart"/>
      <w:r w:rsidRPr="001A7761">
        <w:t>proporzjonalità</w:t>
      </w:r>
      <w:proofErr w:type="spellEnd"/>
      <w:r w:rsidRPr="001A7761">
        <w:t xml:space="preserve"> tas-sistema tal-PNR;</w:t>
      </w:r>
    </w:p>
    <w:p w:rsidRPr="001A7761" w:rsidR="00F5794D" w:rsidP="00993934" w:rsidRDefault="00303072" w14:paraId="78BEFD50" w14:textId="07DBD786">
      <w:pPr>
        <w:pStyle w:val="ListParagraph"/>
        <w:numPr>
          <w:ilvl w:val="0"/>
          <w:numId w:val="22"/>
        </w:numPr>
      </w:pPr>
      <w:r w:rsidRPr="001A7761">
        <w:t>f’</w:t>
      </w:r>
      <w:proofErr w:type="spellStart"/>
      <w:r w:rsidRPr="001A7761">
        <w:t>konformità</w:t>
      </w:r>
      <w:proofErr w:type="spellEnd"/>
      <w:r w:rsidRPr="001A7761">
        <w:t xml:space="preserve"> mal-prinċipju tal-limitazzjoni tal-iskop, kwalunkwe użu ulterjuri tad-data tal-PNR trasferita għal skopijiet oħra għandu jkun </w:t>
      </w:r>
      <w:proofErr w:type="spellStart"/>
      <w:r w:rsidRPr="001A7761">
        <w:t>iġġustifikat</w:t>
      </w:r>
      <w:proofErr w:type="spellEnd"/>
      <w:r w:rsidRPr="001A7761">
        <w:t xml:space="preserve"> b’mod tajjeb ħafna, speċifikat b’mod ċar u preċiż u limitat għal dak li huwa strettament meħtieġ;</w:t>
      </w:r>
    </w:p>
    <w:p w:rsidRPr="001A7761" w:rsidR="00303072" w:rsidP="00993934" w:rsidRDefault="00303072" w14:paraId="30AE3CA2" w14:textId="08E13F22">
      <w:pPr>
        <w:pStyle w:val="ListParagraph"/>
        <w:numPr>
          <w:ilvl w:val="0"/>
          <w:numId w:val="22"/>
        </w:numPr>
      </w:pPr>
      <w:r w:rsidRPr="001A7761">
        <w:t xml:space="preserve">id-Deċiżjoni tal-Kunsill li tawtorizza l-ftuħ tan-negozjati għandu jkollha referenza mhux biss għall-bażi legali proċedurali iżda wkoll għall-bażi legali </w:t>
      </w:r>
      <w:proofErr w:type="spellStart"/>
      <w:r w:rsidRPr="001A7761">
        <w:t>sostantiva</w:t>
      </w:r>
      <w:proofErr w:type="spellEnd"/>
      <w:r w:rsidRPr="001A7761">
        <w:t>, inkluż l-Artikolu 16 tat-TFUE;</w:t>
      </w:r>
    </w:p>
    <w:p w:rsidRPr="001A7761" w:rsidR="00F5794D" w:rsidP="00993934" w:rsidRDefault="00303072" w14:paraId="5208CF56" w14:textId="6CE040D8">
      <w:pPr>
        <w:pStyle w:val="ListParagraph"/>
        <w:numPr>
          <w:ilvl w:val="0"/>
          <w:numId w:val="22"/>
        </w:numPr>
      </w:pPr>
      <w:r w:rsidRPr="001A7761">
        <w:t xml:space="preserve">għandha tingħata attenzjoni speċjali biex jiġi evitat ir-riskju li jkun hemm </w:t>
      </w:r>
      <w:proofErr w:type="spellStart"/>
      <w:r w:rsidRPr="001A7761">
        <w:t>żvelar</w:t>
      </w:r>
      <w:proofErr w:type="spellEnd"/>
      <w:r w:rsidRPr="001A7761">
        <w:t xml:space="preserve"> b’mod indirett ta’ kategoriji speċjali ta’ data dwar il-passiġġieri bl-ajru, kif ukoll ir-riskju ta’ identifikazzjoni mill-ġdid ta’ individwi wara l-</w:t>
      </w:r>
      <w:proofErr w:type="spellStart"/>
      <w:r w:rsidRPr="001A7761">
        <w:t>anonimizzazzjoni</w:t>
      </w:r>
      <w:proofErr w:type="spellEnd"/>
      <w:r w:rsidRPr="001A7761">
        <w:t xml:space="preserve"> tad-data tal-PNR relatata magħhom;</w:t>
      </w:r>
    </w:p>
    <w:p w:rsidRPr="001A7761" w:rsidR="009A64EB" w:rsidP="00993934" w:rsidRDefault="009A64EB" w14:paraId="3706F806" w14:textId="327024A2">
      <w:pPr>
        <w:pStyle w:val="ListParagraph"/>
        <w:numPr>
          <w:ilvl w:val="0"/>
          <w:numId w:val="22"/>
        </w:numPr>
        <w:spacing w:after="200"/>
      </w:pPr>
      <w:r w:rsidRPr="001A7761">
        <w:t xml:space="preserve">il-Ftehim previst għandu jkun fih </w:t>
      </w:r>
      <w:proofErr w:type="spellStart"/>
      <w:r w:rsidRPr="001A7761">
        <w:t>klawsoli</w:t>
      </w:r>
      <w:proofErr w:type="spellEnd"/>
      <w:r w:rsidRPr="001A7761">
        <w:t xml:space="preserve"> li jippermettu s-sospensjoni tiegħu f’każ ta’ ksur tar-regoli tiegħu, kif ukoll għat-terminazzjoni tal-Ftehim jekk in-nuqqas ta’ </w:t>
      </w:r>
      <w:proofErr w:type="spellStart"/>
      <w:r w:rsidRPr="001A7761">
        <w:t>konformità</w:t>
      </w:r>
      <w:proofErr w:type="spellEnd"/>
      <w:r w:rsidRPr="001A7761">
        <w:t xml:space="preserve"> jkun serju u persistenti.</w:t>
      </w:r>
    </w:p>
    <w:p w:rsidRPr="001A7761" w:rsidR="0010766F" w:rsidP="00993934" w:rsidRDefault="0010766F" w14:paraId="2165D998" w14:textId="3B8E35C4">
      <w:pPr>
        <w:spacing w:after="200"/>
      </w:pPr>
      <w:r w:rsidRPr="001A7761">
        <w:t>Rakkomandazzjonijiet dettaljati ulterjuri mill-EDPS huma pprovduti f’din l-Opinjoni.</w:t>
      </w:r>
    </w:p>
    <w:p w:rsidRPr="001A7761" w:rsidR="006031EC" w:rsidP="001A7761" w:rsidRDefault="0010766F" w14:paraId="698D4805" w14:textId="3CF2A70C">
      <w:pPr>
        <w:spacing w:after="200"/>
      </w:pPr>
      <w:r w:rsidRPr="001A7761">
        <w:t xml:space="preserve">L-EDPS jibqa’ għad-dispożizzjoni tal-istituzzjonijiet biex jagħti aktar pariri matul in-negozjati. Huwa jistenna wkoll li jiġi </w:t>
      </w:r>
      <w:proofErr w:type="spellStart"/>
      <w:r w:rsidRPr="001A7761">
        <w:t>kkonsultat</w:t>
      </w:r>
      <w:proofErr w:type="spellEnd"/>
      <w:r w:rsidRPr="001A7761">
        <w:t xml:space="preserve"> aktar ’il quddiem waqt il-finalizzazzjoni tal-abbozz tal-Ftehim f’</w:t>
      </w:r>
      <w:proofErr w:type="spellStart"/>
      <w:r w:rsidRPr="001A7761">
        <w:t>konformità</w:t>
      </w:r>
      <w:proofErr w:type="spellEnd"/>
      <w:r w:rsidRPr="001A7761">
        <w:t xml:space="preserve"> mal-Artikolu 42 tar-Regolament (UE) Nru 2018/1725.</w:t>
      </w:r>
      <w:r w:rsidRPr="001A7761" w:rsidR="006031EC">
        <w:br w:type="page"/>
      </w:r>
    </w:p>
    <w:p w:rsidRPr="001A7761" w:rsidR="002B4019" w:rsidP="00993934" w:rsidRDefault="006A20B1" w14:paraId="7E3E9A85" w14:textId="25B99B66">
      <w:pPr>
        <w:pStyle w:val="Heading1"/>
        <w:keepLines/>
        <w:numPr>
          <w:ilvl w:val="0"/>
          <w:numId w:val="2"/>
        </w:numPr>
        <w:spacing w:after="200"/>
        <w:jc w:val="both"/>
        <w:rPr>
          <w:sz w:val="32"/>
          <w:szCs w:val="32"/>
        </w:rPr>
      </w:pPr>
      <w:bookmarkStart w:name="_Toc425509692" w:id="0"/>
      <w:r w:rsidRPr="001A7761">
        <w:rPr>
          <w:sz w:val="32"/>
          <w:szCs w:val="32"/>
        </w:rPr>
        <w:lastRenderedPageBreak/>
        <w:tab/>
      </w:r>
      <w:bookmarkStart w:name="_Toc22124185" w:id="1"/>
      <w:r w:rsidRPr="001A7761">
        <w:rPr>
          <w:sz w:val="32"/>
          <w:szCs w:val="32"/>
        </w:rPr>
        <w:t>INTRODUZZJONI U SFOND</w:t>
      </w:r>
      <w:bookmarkEnd w:id="1"/>
    </w:p>
    <w:p w:rsidRPr="001A7761" w:rsidR="009F5880" w:rsidP="00EA1EA1" w:rsidRDefault="00040910" w14:paraId="2EE4956E" w14:textId="77777777">
      <w:pPr>
        <w:pStyle w:val="ListParagraph"/>
        <w:numPr>
          <w:ilvl w:val="0"/>
          <w:numId w:val="11"/>
        </w:numPr>
        <w:spacing w:after="240"/>
      </w:pPr>
      <w:r w:rsidRPr="001A7761">
        <w:t xml:space="preserve">Fis-27 ta’ Settembru 2019, il-Kummissjoni Ewropea adottat Rakkomandazzjoni għal Deċiżjoni tal-Kunsill li tawtorizza l-ftuħ ta’ negozjati għal ftehim bejn l-Unjoni Ewropea (UE) u l-Ġappun għat-trasferiment u l-użu tad-data tar-Reġistru tal-Ismijiet tal-Passiġġieri (PNR) għall-prevenzjoni u l-ġlieda kontra t-terroriżmu u kriminalità </w:t>
      </w:r>
      <w:proofErr w:type="spellStart"/>
      <w:r w:rsidRPr="001A7761">
        <w:t>transnazzjonali</w:t>
      </w:r>
      <w:proofErr w:type="spellEnd"/>
      <w:r w:rsidRPr="001A7761">
        <w:t xml:space="preserve"> serja oħra. L-Anness għar-Rakkomandazzjoni (minn hawn ’il quddiem “l-Anness”) jistabbilixxi d-direttivi ta’ negozjar tal-Kunsill lill-Kummissjoni, jiġifieri l-għanijiet li din tal-aħħar għandha timmira li tikseb f’isem l-UE fil-proċess tan-negozjati.</w:t>
      </w:r>
    </w:p>
    <w:p w:rsidRPr="001A7761" w:rsidR="00EA1EA1" w:rsidP="00EA1EA1" w:rsidRDefault="00EA1EA1" w14:paraId="12455888" w14:textId="77777777">
      <w:pPr>
        <w:pStyle w:val="ListParagraph"/>
        <w:spacing w:after="240"/>
        <w:ind w:left="360"/>
      </w:pPr>
    </w:p>
    <w:p w:rsidRPr="001A7761" w:rsidR="006405EF" w:rsidP="00EA1EA1" w:rsidRDefault="009A3AD5" w14:paraId="09621C65" w14:textId="77777777">
      <w:pPr>
        <w:pStyle w:val="ListParagraph"/>
        <w:numPr>
          <w:ilvl w:val="0"/>
          <w:numId w:val="11"/>
        </w:numPr>
        <w:spacing w:after="200"/>
      </w:pPr>
      <w:r w:rsidRPr="001A7761">
        <w:t xml:space="preserve">Ir-Rakkomandazzjoni ġiet addottata fuq il-bażi tal-proċedura stipulata fl-Artikolu 218 tat-Trattat dwar il-Funzjonament tal-Unjoni Ewropea (TFUE) </w:t>
      </w:r>
      <w:proofErr w:type="spellStart"/>
      <w:r w:rsidRPr="001A7761">
        <w:t>għall-ftehimiet</w:t>
      </w:r>
      <w:proofErr w:type="spellEnd"/>
      <w:r w:rsidRPr="001A7761">
        <w:t xml:space="preserve"> konklużi bejn l-UE u pajjiżi terzi. B’din ir-Rakkomandazzjoni, il-Kummissjoni tfittex li tikseb awtorizzazzjoni mill-Kunsill biex tinħatar bħala n-negozjatur f’isem l-UE u biex tibda n-negozjati mal-Ġappun, f’</w:t>
      </w:r>
      <w:proofErr w:type="spellStart"/>
      <w:r w:rsidRPr="001A7761">
        <w:t>konformità</w:t>
      </w:r>
      <w:proofErr w:type="spellEnd"/>
      <w:r w:rsidRPr="001A7761">
        <w:t xml:space="preserve"> mal-mandat għan-negozjar. Ladarba n-negozjati jkunu ntemmu, sabiex il-ftehim jiġi konkluż, il-Parlament Ewropew se jkollu jagħti l-kunsens tiegħu għat-test tal-ftehim negozjat, u wara dan, il-Kunsill se jkollu jadotta deċiżjoni li tikkonkludi l-ftehim.</w:t>
      </w:r>
    </w:p>
    <w:p w:rsidRPr="001A7761" w:rsidR="00EA1EA1" w:rsidP="00EA1EA1" w:rsidRDefault="00EA1EA1" w14:paraId="13E81102" w14:textId="77777777">
      <w:pPr>
        <w:pStyle w:val="ListParagraph"/>
        <w:spacing w:after="200"/>
        <w:ind w:left="360"/>
      </w:pPr>
    </w:p>
    <w:p w:rsidRPr="001A7761" w:rsidR="002B4019" w:rsidP="002B4019" w:rsidRDefault="002B4019" w14:paraId="2E5EB1F7" w14:textId="5F10BE0D">
      <w:pPr>
        <w:numPr>
          <w:ilvl w:val="0"/>
          <w:numId w:val="11"/>
        </w:numPr>
        <w:spacing w:after="200"/>
      </w:pPr>
      <w:r w:rsidRPr="001A7761">
        <w:t xml:space="preserve">Il-qafas legali għall-ipproċessar tad-data tal-PNR fl-UE huwa d-Direttiva (UE) 2016/681 tal-Parlament Ewropew u tal-Kunsill dwar l-użu ta’ data tar-reġistru tal-ismijiet tal-passiġġieri (PNR) għall-prevenzjoni, l-iskoperta, l-investigazzjoni u l-prosekuzzjoni ta’ reati </w:t>
      </w:r>
      <w:proofErr w:type="spellStart"/>
      <w:r w:rsidRPr="001A7761">
        <w:t>terroristiċi</w:t>
      </w:r>
      <w:proofErr w:type="spellEnd"/>
      <w:r w:rsidRPr="001A7761">
        <w:t xml:space="preserve"> u kriminalità serja (id-Direttiva dwar il-PNR), adottata fis-27 ta’ April 2016. L-Istati Membri kienu obbligati jdaħħlu fis-seħħ il-liġijiet, ir-regolamenti u d-dispożizzjonijiet amministrattivi meħtieġa biex jikkonformaw mad-Direttiva sal-25 ta’ Mejju 2018. Il-Kummissjoni Ewropea trid twettaq l-ewwel reviżjoni tad-Direttiva dwar il-PNR sal-25 ta’ Mejju 2020.</w:t>
      </w:r>
    </w:p>
    <w:p w:rsidRPr="001A7761" w:rsidR="002B4019" w:rsidP="002B4019" w:rsidRDefault="002B4019" w14:paraId="3F092345" w14:textId="6A150440">
      <w:pPr>
        <w:numPr>
          <w:ilvl w:val="0"/>
          <w:numId w:val="11"/>
        </w:numPr>
        <w:spacing w:after="200"/>
      </w:pPr>
      <w:r w:rsidRPr="001A7761">
        <w:t xml:space="preserve">Bħalissa, hemm żewġ </w:t>
      </w:r>
      <w:proofErr w:type="spellStart"/>
      <w:r w:rsidRPr="001A7761">
        <w:t>ftehimiet</w:t>
      </w:r>
      <w:proofErr w:type="spellEnd"/>
      <w:r w:rsidRPr="001A7761">
        <w:t xml:space="preserve"> internazzjonali fis-seħħ bejn l-UE u pajjiżi terzi dwar l-ipproċessar u t-trasferiment tad-data tal-PNR - mal-Awstralja</w:t>
      </w:r>
      <w:r w:rsidRPr="001A7761">
        <w:rPr>
          <w:vertAlign w:val="superscript"/>
        </w:rPr>
        <w:endnoteReference w:id="1"/>
      </w:r>
      <w:r w:rsidRPr="001A7761">
        <w:t xml:space="preserve"> u mal-Istati Uniti</w:t>
      </w:r>
      <w:r w:rsidRPr="001A7761">
        <w:rPr>
          <w:vertAlign w:val="superscript"/>
        </w:rPr>
        <w:endnoteReference w:id="2"/>
      </w:r>
      <w:r w:rsidRPr="001A7761">
        <w:t>, it-tnejn mill-2011. Fuq talba tal-Parlament Ewropew, skont l-Artikolu 218(11) tat-TFUE, il-Qorti tal-Ġustizzja tal-UE (QĠUE) adottat l-Opinjoni 1/15 tas-26 ta’ Lulju 2017</w:t>
      </w:r>
      <w:r w:rsidRPr="001A7761">
        <w:rPr>
          <w:vertAlign w:val="superscript"/>
        </w:rPr>
        <w:endnoteReference w:id="3"/>
      </w:r>
      <w:r w:rsidRPr="001A7761">
        <w:t xml:space="preserve"> dwar il-Ftehim previst bejn l-UE u l-Kanada dwar it-trasferiment u l-ipproċessar tad-data tal-PNR, iffirmat fil-25 ta’ Ġunju 2014. Il-Qorti </w:t>
      </w:r>
      <w:proofErr w:type="spellStart"/>
      <w:r w:rsidRPr="001A7761">
        <w:t>kkonkludiet</w:t>
      </w:r>
      <w:proofErr w:type="spellEnd"/>
      <w:r w:rsidRPr="001A7761">
        <w:t xml:space="preserve"> li l-Ftehim huwa inkompatibbli mal-Artikoli 7, 8 u 21 u l-Artikolu 52(1) tal-Karta tad-Drittijiet Fundamentali tal-UE (Karta) sa fejn ma </w:t>
      </w:r>
      <w:proofErr w:type="spellStart"/>
      <w:r w:rsidRPr="001A7761">
        <w:t>jipprekludix</w:t>
      </w:r>
      <w:proofErr w:type="spellEnd"/>
      <w:r w:rsidRPr="001A7761">
        <w:t xml:space="preserve"> it-trasferiment ta’ data sensittiva mill-UE għall-Kanada u l-użu u ż-żamma ta’ dik id-data. Barra minn hekk, il-Qorti stabbiliet numru ta’ kundizzjonijiet u salvagwardji għall-ipproċessar u t-trasferiment legali tad-data tal-PNR. Abbażi tal-Opinjoni 1/15, in-negozjati ġodda dwar il-PNR mal-Kanada ġew imnedija f’Ġunju 2018, li, skont il-Kummissjoni, jinsabu fl-istadju finali tagħhom.</w:t>
      </w:r>
    </w:p>
    <w:p w:rsidRPr="001A7761" w:rsidR="002B4019" w:rsidP="002B4019" w:rsidRDefault="002B4019" w14:paraId="3BCB6E76" w14:textId="64566B27">
      <w:pPr>
        <w:numPr>
          <w:ilvl w:val="0"/>
          <w:numId w:val="11"/>
        </w:numPr>
        <w:spacing w:after="200"/>
      </w:pPr>
      <w:r w:rsidRPr="001A7761">
        <w:t xml:space="preserve">Fil-livell globali, il-kwistjoni dwar id-data tal-PNR hija ttrattata mill-Konvenzjoni dwar l-Avjazzjoni Ċivili Internazzjonali (il-“Konvenzjoni ta’ </w:t>
      </w:r>
      <w:proofErr w:type="spellStart"/>
      <w:r w:rsidRPr="001A7761">
        <w:t>Chicago</w:t>
      </w:r>
      <w:proofErr w:type="spellEnd"/>
      <w:r w:rsidRPr="001A7761">
        <w:t xml:space="preserve">”) tal-1947, li tirregola t-trasport internazzjonali bl-ajru u li permezz tagħha ġiet stabbilita l-Organizzazzjoni tal-Avjazzjoni Ċivili Internazzjonali (ICAO). Il-Kunsill tal-ICAO adotta l-Istandards u l-Prattiki Rakkomandati dwar il-PNR, li huma parti mill-Anness 9 (“Faċilitazzjoni”) tal-Konvenzjoni ta’ </w:t>
      </w:r>
      <w:proofErr w:type="spellStart"/>
      <w:r w:rsidRPr="001A7761">
        <w:t>Chicago</w:t>
      </w:r>
      <w:proofErr w:type="spellEnd"/>
      <w:r w:rsidRPr="001A7761">
        <w:t xml:space="preserve">. Dawn huma </w:t>
      </w:r>
      <w:proofErr w:type="spellStart"/>
      <w:r w:rsidRPr="001A7761">
        <w:t>kkumplimentati</w:t>
      </w:r>
      <w:proofErr w:type="spellEnd"/>
      <w:r w:rsidRPr="001A7761">
        <w:t xml:space="preserve"> minn gwida addizzjonali, </w:t>
      </w:r>
      <w:proofErr w:type="spellStart"/>
      <w:r w:rsidRPr="001A7761">
        <w:t>partikolarment</w:t>
      </w:r>
      <w:proofErr w:type="spellEnd"/>
      <w:r w:rsidRPr="001A7761">
        <w:t xml:space="preserve"> id-Dokument 9944 tal-ICAO li jistabbilixxi “Linji Gwida dwar ir-Reġistru </w:t>
      </w:r>
      <w:r w:rsidRPr="001A7761">
        <w:lastRenderedPageBreak/>
        <w:t>tal-Ismijiet tal-Passiġġieri (PNR)”</w:t>
      </w:r>
      <w:r w:rsidRPr="001A7761">
        <w:rPr>
          <w:vertAlign w:val="superscript"/>
        </w:rPr>
        <w:endnoteReference w:id="4"/>
      </w:r>
      <w:r w:rsidRPr="001A7761">
        <w:t xml:space="preserve">. L-Istati Membri tal-UE kollha huma Partijiet għall-Konvenzjoni ta’ </w:t>
      </w:r>
      <w:proofErr w:type="spellStart"/>
      <w:r w:rsidRPr="001A7761">
        <w:t>Chicago</w:t>
      </w:r>
      <w:proofErr w:type="spellEnd"/>
      <w:r w:rsidRPr="001A7761">
        <w:t>.</w:t>
      </w:r>
    </w:p>
    <w:p w:rsidRPr="001A7761" w:rsidR="002B4019" w:rsidP="002B4019" w:rsidRDefault="002B4019" w14:paraId="2F2B7C49" w14:textId="6025F76D">
      <w:pPr>
        <w:numPr>
          <w:ilvl w:val="0"/>
          <w:numId w:val="11"/>
        </w:numPr>
        <w:spacing w:after="200"/>
      </w:pPr>
      <w:r w:rsidRPr="001A7761">
        <w:t xml:space="preserve">Barra minn hekk, ir-Riżoluzzjoni 2396 (2017) tal-Kunsill tas-Sigurtà tan-Nazzjonijiet Uniti dwar theddid għall-paċi u s-sigurtà internazzjonali kkawżati minn ġellieda </w:t>
      </w:r>
      <w:proofErr w:type="spellStart"/>
      <w:r w:rsidRPr="001A7761">
        <w:t>terroristiċi</w:t>
      </w:r>
      <w:proofErr w:type="spellEnd"/>
      <w:r w:rsidRPr="001A7761">
        <w:t xml:space="preserve"> barranin, adottata fil-21 ta’ Diċembru 2017, teħtieġ li l-Istati Membri </w:t>
      </w:r>
      <w:proofErr w:type="spellStart"/>
      <w:r w:rsidRPr="001A7761">
        <w:t>tan</w:t>
      </w:r>
      <w:proofErr w:type="spellEnd"/>
      <w:r w:rsidRPr="001A7761">
        <w:t>-NU “</w:t>
      </w:r>
      <w:r w:rsidRPr="001A7761">
        <w:rPr>
          <w:i/>
        </w:rPr>
        <w:t xml:space="preserve">jiżviluppaw il-kapaċità li jiġbru, jipproċessaw u janalizzaw, biex ikomplu </w:t>
      </w:r>
      <w:proofErr w:type="spellStart"/>
      <w:r w:rsidRPr="001A7761">
        <w:rPr>
          <w:i/>
        </w:rPr>
        <w:t>jipprowovu</w:t>
      </w:r>
      <w:proofErr w:type="spellEnd"/>
      <w:r w:rsidRPr="001A7761">
        <w:rPr>
          <w:i/>
        </w:rPr>
        <w:t xml:space="preserve"> l-istandards tal-ICAO u l-prattiki rakkomandati, id-data tar-reġistru tal-ismijiet tal-passiġġieri (PNR) u jiżguraw li d-data tal-PNR tintuża u tkun </w:t>
      </w:r>
      <w:proofErr w:type="spellStart"/>
      <w:r w:rsidRPr="001A7761">
        <w:rPr>
          <w:i/>
        </w:rPr>
        <w:t>kondiviża</w:t>
      </w:r>
      <w:proofErr w:type="spellEnd"/>
      <w:r w:rsidRPr="001A7761">
        <w:rPr>
          <w:i/>
        </w:rPr>
        <w:t xml:space="preserve"> mal-awtoritajiet nazzjonali kompetenti kollha tagħhom, b’rispett sħiħ għad-drittijiet tal-bniedem u l-libertajiet fundamentali”</w:t>
      </w:r>
      <w:r w:rsidRPr="001A7761">
        <w:t xml:space="preserve">, kif ukoll </w:t>
      </w:r>
      <w:r w:rsidRPr="001A7761">
        <w:rPr>
          <w:i/>
        </w:rPr>
        <w:t xml:space="preserve">“fejn xieraq, tħeġġeġ lill-Istati Membri </w:t>
      </w:r>
      <w:proofErr w:type="spellStart"/>
      <w:r w:rsidRPr="001A7761">
        <w:rPr>
          <w:i/>
        </w:rPr>
        <w:t>jikkondividu</w:t>
      </w:r>
      <w:proofErr w:type="spellEnd"/>
      <w:r w:rsidRPr="001A7761">
        <w:rPr>
          <w:i/>
        </w:rPr>
        <w:t xml:space="preserve"> d-data tal-PNR ma’ Stati Membri relevanti jew ikkonċernati biex jinstabu ġellieda </w:t>
      </w:r>
      <w:proofErr w:type="spellStart"/>
      <w:r w:rsidRPr="001A7761">
        <w:rPr>
          <w:i/>
        </w:rPr>
        <w:t>terroristiċi</w:t>
      </w:r>
      <w:proofErr w:type="spellEnd"/>
      <w:r w:rsidRPr="001A7761">
        <w:rPr>
          <w:i/>
        </w:rPr>
        <w:t xml:space="preserve"> barranin”</w:t>
      </w:r>
      <w:r w:rsidRPr="001A7761">
        <w:rPr>
          <w:vertAlign w:val="superscript"/>
        </w:rPr>
        <w:endnoteReference w:id="5"/>
      </w:r>
      <w:r w:rsidRPr="001A7761">
        <w:t>.</w:t>
      </w:r>
    </w:p>
    <w:p w:rsidRPr="001A7761" w:rsidR="00875FA8" w:rsidP="00A06782" w:rsidRDefault="00875FA8" w14:paraId="138A6904" w14:textId="59B17399">
      <w:pPr>
        <w:numPr>
          <w:ilvl w:val="0"/>
          <w:numId w:val="11"/>
        </w:numPr>
      </w:pPr>
      <w:r w:rsidRPr="001A7761">
        <w:t xml:space="preserve">L-EDPS jilqa’ l-fatt li ġie </w:t>
      </w:r>
      <w:proofErr w:type="spellStart"/>
      <w:r w:rsidRPr="001A7761">
        <w:t>kkonsultat</w:t>
      </w:r>
      <w:proofErr w:type="spellEnd"/>
      <w:r w:rsidRPr="001A7761">
        <w:t xml:space="preserve"> wara l-adozzjoni tar-Rakkomandazzjoni mill-Kummissjoni Ewropea u jistenna li referenza għal din l-Opinjoni tkun inkluża fil-</w:t>
      </w:r>
      <w:proofErr w:type="spellStart"/>
      <w:r w:rsidRPr="001A7761">
        <w:t>preambolu</w:t>
      </w:r>
      <w:proofErr w:type="spellEnd"/>
      <w:r w:rsidRPr="001A7761">
        <w:t xml:space="preserve"> tad-Deċiżjoni tal-Kunsill. L-Opinjoni preżenti hija mingħajr preġudizzju għal kwalunkwe kumment addizzjonali li l-EDPS jista’ jagħmel fuq il-bażi ta’ informazzjoni ulterjuri disponibbli aktar tard.</w:t>
      </w:r>
    </w:p>
    <w:p w:rsidRPr="001A7761" w:rsidR="00A06782" w:rsidP="00A06782" w:rsidRDefault="00A06782" w14:paraId="05B42449" w14:textId="652B1DE7">
      <w:pPr>
        <w:spacing w:after="200"/>
        <w:ind w:left="360"/>
      </w:pPr>
    </w:p>
    <w:p w:rsidRPr="001A7761" w:rsidR="00E515CF" w:rsidP="00E515CF" w:rsidRDefault="00E515CF" w14:paraId="6FD3076F" w14:textId="3C478248">
      <w:pPr>
        <w:pStyle w:val="Heading1"/>
        <w:keepLines/>
        <w:numPr>
          <w:ilvl w:val="0"/>
          <w:numId w:val="26"/>
        </w:numPr>
        <w:spacing w:after="200"/>
        <w:ind w:hanging="76"/>
        <w:jc w:val="both"/>
        <w:rPr>
          <w:sz w:val="32"/>
          <w:szCs w:val="32"/>
        </w:rPr>
      </w:pPr>
      <w:r w:rsidRPr="001A7761">
        <w:rPr>
          <w:sz w:val="32"/>
          <w:szCs w:val="32"/>
        </w:rPr>
        <w:t>KONKLUŻJONIJIET</w:t>
      </w:r>
    </w:p>
    <w:p w:rsidRPr="001A7761" w:rsidR="005F637D" w:rsidP="00993934" w:rsidRDefault="00E63C0D" w14:paraId="0082D7B4" w14:textId="5E735E7E">
      <w:pPr>
        <w:pStyle w:val="ListParagraph"/>
        <w:numPr>
          <w:ilvl w:val="0"/>
          <w:numId w:val="24"/>
        </w:numPr>
        <w:spacing w:after="120"/>
      </w:pPr>
      <w:r w:rsidRPr="001A7761">
        <w:t xml:space="preserve">L-EDPS jilqa’ l-fatt li l-mandat għan-negozjar għandu l-għan li jiżgura </w:t>
      </w:r>
      <w:proofErr w:type="spellStart"/>
      <w:r w:rsidRPr="001A7761">
        <w:t>konformità</w:t>
      </w:r>
      <w:proofErr w:type="spellEnd"/>
      <w:r w:rsidRPr="001A7761">
        <w:t xml:space="preserve"> sħiħa mad-drittijiet u l-libertajiet fundamentali </w:t>
      </w:r>
      <w:proofErr w:type="spellStart"/>
      <w:r w:rsidRPr="001A7761">
        <w:t>minquxa</w:t>
      </w:r>
      <w:proofErr w:type="spellEnd"/>
      <w:r w:rsidRPr="001A7761">
        <w:t xml:space="preserve"> fl-Artikolu 7 u fl-Artikolu 8 tal-Karta, kif ukoll għall-prinċipji ta’ ħtieġa u </w:t>
      </w:r>
      <w:proofErr w:type="spellStart"/>
      <w:r w:rsidRPr="001A7761">
        <w:t>proporzjonalità</w:t>
      </w:r>
      <w:proofErr w:type="spellEnd"/>
      <w:r w:rsidRPr="001A7761">
        <w:t>, kif interpretati mill-QĠUE fl-Opinjoni 1/15 tagħha dwar il-Ftehim dwar il-PNR UE-Kanada.</w:t>
      </w:r>
    </w:p>
    <w:p w:rsidRPr="001A7761" w:rsidR="009E77F4" w:rsidP="005F637D" w:rsidRDefault="009E77F4" w14:paraId="3699D3B5" w14:textId="07AC94CB">
      <w:pPr>
        <w:pStyle w:val="ListParagraph"/>
        <w:spacing w:after="120"/>
        <w:ind w:left="360"/>
      </w:pPr>
    </w:p>
    <w:p w:rsidRPr="001A7761" w:rsidR="005F637D" w:rsidP="00993934" w:rsidRDefault="000E427E" w14:paraId="4138C65E" w14:textId="02D4EBEB">
      <w:pPr>
        <w:pStyle w:val="ListParagraph"/>
        <w:numPr>
          <w:ilvl w:val="0"/>
          <w:numId w:val="24"/>
        </w:numPr>
        <w:spacing w:after="120"/>
      </w:pPr>
      <w:r w:rsidRPr="001A7761">
        <w:t xml:space="preserve">Minħabba l-impatt tal-Ftehim previst fuq id-drittijiet fundamentali ta’ numru kbir ħafna ta’ individwi mhux </w:t>
      </w:r>
      <w:proofErr w:type="spellStart"/>
      <w:r w:rsidRPr="001A7761">
        <w:t>implikati</w:t>
      </w:r>
      <w:proofErr w:type="spellEnd"/>
      <w:r w:rsidRPr="001A7761">
        <w:t xml:space="preserve"> f’attività kriminali, l-EDPS jikkunsidra li l-Ftehim futur għandu jkun fih is-salvagwardji sostantivi u proċedurali kollha meħtieġa li, ikkunsidrati </w:t>
      </w:r>
      <w:proofErr w:type="spellStart"/>
      <w:r w:rsidRPr="001A7761">
        <w:t>fl-intier</w:t>
      </w:r>
      <w:proofErr w:type="spellEnd"/>
      <w:r w:rsidRPr="001A7761">
        <w:t xml:space="preserve"> tagħhom, jistgħu jiggarantixxu l-</w:t>
      </w:r>
      <w:proofErr w:type="spellStart"/>
      <w:r w:rsidRPr="001A7761">
        <w:t>proporzjonalità</w:t>
      </w:r>
      <w:proofErr w:type="spellEnd"/>
      <w:r w:rsidRPr="001A7761">
        <w:t xml:space="preserve"> tas-sistema tal-PNR u jillimitaw l-interferenza mad-dritt għall-privatezza u l-protezzjoni tad-data għal dak li huwa strettament meħtieġ u ġġustifikat mill-interess ġenerali tal-UE.</w:t>
      </w:r>
    </w:p>
    <w:p w:rsidRPr="001A7761" w:rsidR="00EE75CB" w:rsidP="00EE75CB" w:rsidRDefault="00EE75CB" w14:paraId="4D3B5E2E" w14:textId="77777777">
      <w:pPr>
        <w:pStyle w:val="ListParagraph"/>
        <w:spacing w:after="120"/>
        <w:ind w:left="360"/>
      </w:pPr>
    </w:p>
    <w:p w:rsidRPr="001A7761" w:rsidR="001D74A9" w:rsidP="00993934" w:rsidRDefault="002647CC" w14:paraId="3A1EDF30" w14:textId="0F0AA6B5">
      <w:pPr>
        <w:pStyle w:val="ListParagraph"/>
        <w:numPr>
          <w:ilvl w:val="0"/>
          <w:numId w:val="24"/>
        </w:numPr>
        <w:spacing w:after="120"/>
      </w:pPr>
      <w:r w:rsidRPr="001A7761">
        <w:t xml:space="preserve">Għal dan il-għan, bħala rakkomandazzjoni ewlenija, l-EDPS jenfasizza l-ħtieġa ta’ </w:t>
      </w:r>
      <w:proofErr w:type="spellStart"/>
      <w:r w:rsidRPr="001A7761">
        <w:t>approċċ</w:t>
      </w:r>
      <w:proofErr w:type="spellEnd"/>
      <w:r w:rsidRPr="001A7761">
        <w:t xml:space="preserve"> strett fir-rigward tal-ħtieġa u l-</w:t>
      </w:r>
      <w:proofErr w:type="spellStart"/>
      <w:r w:rsidRPr="001A7761">
        <w:t>proporzjonalità</w:t>
      </w:r>
      <w:proofErr w:type="spellEnd"/>
      <w:r w:rsidRPr="001A7761">
        <w:t xml:space="preserve"> tas-sistema tal-PNR. Barra minn hekk, għandha tingħata attenzjoni speċjali lill-implimentazzjoni prattika tal-prinċipju tal-limitazzjoni tal-iskop li jikkonċerna l-użu tad-data tal-PNR trasferita. Barra minn hekk, l-EDPS jirrepeti l-pożizzjoni tiegħu mill-opinjonijiet preċedenti tiegħu</w:t>
      </w:r>
      <w:r w:rsidRPr="001A7761" w:rsidR="000C2F0E">
        <w:rPr>
          <w:rStyle w:val="EndnoteReference"/>
        </w:rPr>
        <w:endnoteReference w:id="6"/>
      </w:r>
      <w:r w:rsidRPr="001A7761">
        <w:t xml:space="preserve"> li d-Deċiżjoni tal-Kunsill li tawtorizza l-ftuħ tan-negozjati skont l-Artikolu 218 tat-TFUE għandu jkun fiha referenza mhux biss għall-bażi legali proċedurali iżda wkoll għall-bażi legali </w:t>
      </w:r>
      <w:proofErr w:type="spellStart"/>
      <w:r w:rsidRPr="001A7761">
        <w:t>sostantiva</w:t>
      </w:r>
      <w:proofErr w:type="spellEnd"/>
      <w:r w:rsidRPr="001A7761">
        <w:t xml:space="preserve"> relevanti, li għandha tinkludi l-Artikolu 16 tat-TFUE.</w:t>
      </w:r>
    </w:p>
    <w:p w:rsidRPr="001A7761" w:rsidR="005F637D" w:rsidP="005F637D" w:rsidRDefault="005F637D" w14:paraId="4D650283" w14:textId="77777777">
      <w:pPr>
        <w:pStyle w:val="ListParagraph"/>
        <w:spacing w:after="120"/>
        <w:ind w:left="360"/>
      </w:pPr>
    </w:p>
    <w:p w:rsidRPr="001A7761" w:rsidR="00E63C0D" w:rsidP="00993934" w:rsidRDefault="00C94068" w14:paraId="371E3FC5" w14:textId="2869A23D">
      <w:pPr>
        <w:pStyle w:val="ListParagraph"/>
        <w:numPr>
          <w:ilvl w:val="0"/>
          <w:numId w:val="24"/>
        </w:numPr>
        <w:spacing w:after="120"/>
      </w:pPr>
      <w:r w:rsidRPr="001A7761">
        <w:t xml:space="preserve">Ir-rakkomandazzjonijiet addizzjonali tal-EDPS f’din l-Opinjoni huma relatati mal-qafas legali xieraq għat-trasferiment tad-data personali </w:t>
      </w:r>
      <w:proofErr w:type="spellStart"/>
      <w:r w:rsidRPr="001A7761">
        <w:t>operazzjonali</w:t>
      </w:r>
      <w:proofErr w:type="spellEnd"/>
      <w:r w:rsidRPr="001A7761">
        <w:t xml:space="preserve">; il-ħtieġa biex jiġi evitat ir-riskju ta’ </w:t>
      </w:r>
      <w:proofErr w:type="spellStart"/>
      <w:r w:rsidRPr="001A7761">
        <w:t>żvelar</w:t>
      </w:r>
      <w:proofErr w:type="spellEnd"/>
      <w:r w:rsidRPr="001A7761">
        <w:t xml:space="preserve"> indirettament ta’ kategoriji speċjali ta’ data dwar il-passiġġieri bl-ajru, kif ukoll ir-riskju ta’ identifikazzjoni mill-ġdid ta’ individwi wara l-</w:t>
      </w:r>
      <w:proofErr w:type="spellStart"/>
      <w:r w:rsidRPr="001A7761">
        <w:t>anonimizzazzjoni</w:t>
      </w:r>
      <w:proofErr w:type="spellEnd"/>
      <w:r w:rsidRPr="001A7761">
        <w:t xml:space="preserve"> tad-data tal-PNR relatata magħhom. L-EDPS </w:t>
      </w:r>
      <w:proofErr w:type="spellStart"/>
      <w:r w:rsidRPr="001A7761">
        <w:t>jissottolinja</w:t>
      </w:r>
      <w:proofErr w:type="spellEnd"/>
      <w:r w:rsidRPr="001A7761">
        <w:t xml:space="preserve"> wkoll il-ħtieġa li tiġi ċċarata s-superviżjoni indipendenti tal-ipproċessar tad-data tal-PNR mill-awtoritajiet Ġappuniżi kompetenti, li hija waħda mill-garanziji essenzjali għad-dritt għall-protezzjoni tad-data. </w:t>
      </w:r>
      <w:r w:rsidRPr="001A7761">
        <w:lastRenderedPageBreak/>
        <w:t xml:space="preserve">Barra minn hekk, l-EDPS jirrakkomanda l-introduzzjoni ta’ </w:t>
      </w:r>
      <w:proofErr w:type="spellStart"/>
      <w:r w:rsidRPr="001A7761">
        <w:t>klawsoli</w:t>
      </w:r>
      <w:proofErr w:type="spellEnd"/>
      <w:r w:rsidRPr="001A7761">
        <w:t xml:space="preserve"> li jippermettu s-sospensjoni tal-Ftehim futur f’każ ta’ ksur tad-dispożizzjonijiet tiegħu, kif ukoll għat-terminazzjoni tal-Ftehim jekk in-nuqqas ta’ </w:t>
      </w:r>
      <w:proofErr w:type="spellStart"/>
      <w:r w:rsidRPr="001A7761">
        <w:t>konformità</w:t>
      </w:r>
      <w:proofErr w:type="spellEnd"/>
      <w:r w:rsidRPr="001A7761">
        <w:t xml:space="preserve"> jkun serju u persistenti.</w:t>
      </w:r>
    </w:p>
    <w:p w:rsidRPr="001A7761" w:rsidR="005F637D" w:rsidP="005F637D" w:rsidRDefault="005F637D" w14:paraId="1E813CCA" w14:textId="77777777">
      <w:pPr>
        <w:pStyle w:val="ListParagraph"/>
        <w:spacing w:after="120"/>
        <w:ind w:left="360"/>
      </w:pPr>
    </w:p>
    <w:p w:rsidRPr="001A7761" w:rsidR="00E63C0D" w:rsidP="00993934" w:rsidRDefault="00036309" w14:paraId="5F05CB27" w14:textId="4BEF0729">
      <w:pPr>
        <w:pStyle w:val="ListParagraph"/>
        <w:numPr>
          <w:ilvl w:val="0"/>
          <w:numId w:val="24"/>
        </w:numPr>
        <w:spacing w:after="120"/>
      </w:pPr>
      <w:r w:rsidRPr="001A7761">
        <w:t xml:space="preserve">L-EDPS jibqa’ għad-dispożizzjoni tal-Kummissjoni, tal-Kunsill u tal-Parlament Ewropew biex jipprovdi pariri waqt stadji aktar tard ta’ dan il-proċess. Il-kummenti f’din l-Opinjoni huma mingħajr preġudizzju għal kwalunkwe kumment addizzjonali li l-EDPS jista’ jagħmel hekk kif jistgħu jirriżultaw kwistjonijiet ulterjuri u li ser imbagħad jiġu indirizzati ladarba tkun disponibbli aktar informazzjoni. Għal dan il-għan, l-EDPS jistenna li jiġi </w:t>
      </w:r>
      <w:proofErr w:type="spellStart"/>
      <w:r w:rsidRPr="001A7761">
        <w:t>kkonsultat</w:t>
      </w:r>
      <w:proofErr w:type="spellEnd"/>
      <w:r w:rsidRPr="001A7761">
        <w:t xml:space="preserve"> aktar tard dwar id-dispożizzjonijiet tal-abbozz tal-Ftehim qabel il-finalizzazzjoni tiegħu.</w:t>
      </w:r>
    </w:p>
    <w:p w:rsidRPr="001A7761" w:rsidR="00F92ABA" w:rsidP="000752FA" w:rsidRDefault="00F92ABA" w14:paraId="7C4F72BA" w14:textId="77777777">
      <w:pPr>
        <w:spacing w:after="120"/>
      </w:pPr>
    </w:p>
    <w:p w:rsidRPr="001A7761" w:rsidR="00486C67" w:rsidP="000752FA" w:rsidRDefault="00486C67" w14:paraId="0EF1486D" w14:textId="40D74E7B">
      <w:pPr>
        <w:spacing w:after="120"/>
      </w:pPr>
      <w:r w:rsidRPr="001A7761">
        <w:t>Brussell, 25 ta’ Ottubru 2015</w:t>
      </w:r>
    </w:p>
    <w:p w:rsidRPr="001A7761" w:rsidR="00213E0C" w:rsidP="000752FA" w:rsidRDefault="00213E0C" w14:paraId="79AD5AB7" w14:textId="713345AF">
      <w:pPr>
        <w:spacing w:after="120"/>
        <w:rPr>
          <w:lang w:val="pl-PL"/>
        </w:rPr>
      </w:pPr>
    </w:p>
    <w:p w:rsidRPr="001A7761" w:rsidR="00213E0C" w:rsidP="000752FA" w:rsidRDefault="00213E0C" w14:paraId="57054E86" w14:textId="24C312FF">
      <w:pPr>
        <w:spacing w:after="120"/>
        <w:rPr>
          <w:lang w:val="pl-PL"/>
        </w:rPr>
      </w:pPr>
    </w:p>
    <w:p w:rsidRPr="001A7761" w:rsidR="00213E0C" w:rsidP="000752FA" w:rsidRDefault="00213E0C" w14:paraId="6ABC9993" w14:textId="4E695C25">
      <w:pPr>
        <w:spacing w:after="120"/>
        <w:rPr>
          <w:lang w:val="pl-PL"/>
        </w:rPr>
      </w:pPr>
    </w:p>
    <w:p w:rsidRPr="001A7761" w:rsidR="00213E0C" w:rsidP="000752FA" w:rsidRDefault="00213E0C" w14:paraId="3B00E25D" w14:textId="77777777">
      <w:pPr>
        <w:spacing w:after="120"/>
        <w:rPr>
          <w:lang w:val="pl-PL"/>
        </w:rPr>
      </w:pPr>
    </w:p>
    <w:bookmarkEnd w:id="0"/>
    <w:p w:rsidRPr="001A7761" w:rsidR="00F92ABA" w:rsidRDefault="00EA1EA1" w14:paraId="59744501" w14:textId="77777777">
      <w:pPr>
        <w:jc w:val="left"/>
        <w:rPr>
          <w:rFonts w:eastAsia="Adobe Gothic Std B"/>
          <w:b/>
          <w:bCs/>
          <w:color w:val="005DA4"/>
          <w:kern w:val="32"/>
          <w:sz w:val="32"/>
          <w:szCs w:val="32"/>
        </w:rPr>
      </w:pPr>
      <w:proofErr w:type="spellStart"/>
      <w:r w:rsidRPr="001A7761">
        <w:t>Wojciech</w:t>
      </w:r>
      <w:proofErr w:type="spellEnd"/>
      <w:r w:rsidRPr="001A7761">
        <w:t xml:space="preserve"> </w:t>
      </w:r>
      <w:proofErr w:type="spellStart"/>
      <w:r w:rsidRPr="001A7761">
        <w:t>Rafał</w:t>
      </w:r>
      <w:proofErr w:type="spellEnd"/>
      <w:r w:rsidRPr="001A7761">
        <w:t xml:space="preserve"> WIEWIÓROWSKI </w:t>
      </w:r>
      <w:r w:rsidRPr="001A7761">
        <w:br w:type="page"/>
      </w:r>
    </w:p>
    <w:p w:rsidRPr="001A7761" w:rsidR="00F92ABA" w:rsidP="00F92ABA" w:rsidRDefault="00F92ABA" w14:paraId="5C88152C" w14:textId="77777777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name="_Toc435701394" w:id="3"/>
      <w:bookmarkStart w:name="_Toc22124204" w:id="4"/>
      <w:r w:rsidRPr="001A7761">
        <w:rPr>
          <w:sz w:val="32"/>
          <w:szCs w:val="32"/>
        </w:rPr>
        <w:lastRenderedPageBreak/>
        <w:t>Noti</w:t>
      </w:r>
      <w:bookmarkEnd w:id="3"/>
      <w:bookmarkEnd w:id="4"/>
    </w:p>
    <w:sectPr w:rsidRPr="001A7761" w:rsidR="00F92ABA" w:rsidSect="00D06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40" w:right="1440" w:bottom="1560" w:left="1440" w:header="709" w:footer="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938ED" w14:textId="77777777" w:rsidR="00BD3203" w:rsidRDefault="00BD3203" w:rsidP="00EE2109">
      <w:r>
        <w:separator/>
      </w:r>
    </w:p>
  </w:endnote>
  <w:endnote w:type="continuationSeparator" w:id="0">
    <w:p w14:paraId="141A31A3" w14:textId="77777777" w:rsidR="00BD3203" w:rsidRDefault="00BD3203" w:rsidP="00EE2109">
      <w:r>
        <w:continuationSeparator/>
      </w:r>
    </w:p>
  </w:endnote>
  <w:endnote w:id="1">
    <w:p w14:paraId="2023D359" w14:textId="77777777" w:rsidR="002B4019" w:rsidRPr="001A7761" w:rsidRDefault="002B4019" w:rsidP="00617099">
      <w:pPr>
        <w:pStyle w:val="Style1"/>
      </w:pPr>
      <w:r w:rsidRPr="001A7761">
        <w:rPr>
          <w:rStyle w:val="EndnoteReference"/>
        </w:rPr>
        <w:endnoteRef/>
      </w:r>
      <w:r w:rsidRPr="001A7761">
        <w:t xml:space="preserve"> ĠU L 186, 14.7.2012, p. 4-16.</w:t>
      </w:r>
    </w:p>
  </w:endnote>
  <w:endnote w:id="2">
    <w:p w14:paraId="196FCF4E" w14:textId="77777777" w:rsidR="002B4019" w:rsidRPr="001A7761" w:rsidRDefault="002B4019" w:rsidP="00617099">
      <w:pPr>
        <w:pStyle w:val="Style1"/>
      </w:pPr>
      <w:r w:rsidRPr="001A7761">
        <w:rPr>
          <w:rStyle w:val="EndnoteReference"/>
        </w:rPr>
        <w:endnoteRef/>
      </w:r>
      <w:r w:rsidRPr="001A7761">
        <w:t xml:space="preserve"> </w:t>
      </w:r>
      <w:r w:rsidRPr="001A7761">
        <w:t>ĠU L 215, 11.8.2012, p. 5-14.</w:t>
      </w:r>
    </w:p>
  </w:endnote>
  <w:endnote w:id="3">
    <w:p w14:paraId="7170B23C" w14:textId="497E06AD" w:rsidR="002B4019" w:rsidRPr="001A7761" w:rsidRDefault="002B4019" w:rsidP="00617099">
      <w:pPr>
        <w:pStyle w:val="Style1"/>
      </w:pPr>
      <w:r w:rsidRPr="001A7761">
        <w:rPr>
          <w:rStyle w:val="EndnoteReference"/>
        </w:rPr>
        <w:endnoteRef/>
      </w:r>
      <w:r w:rsidRPr="001A7761">
        <w:t xml:space="preserve"> </w:t>
      </w:r>
      <w:r w:rsidRPr="001A7761">
        <w:t>Opinjoni 1/15 tal-Qorti tal-Ġustizzja tas-26 ta’ Lulju 2017 skont l-Artikolu 218(11) tat-TFUE dwar l-abbozz ta’ Ftehim bejn il-Kanada u l-UE dwar it-trasferiment u l-ipproċessar tad-data tal-PNR, ECLI:EU:C:2017:592.</w:t>
      </w:r>
    </w:p>
  </w:endnote>
  <w:endnote w:id="4">
    <w:p w14:paraId="0B728BE8" w14:textId="77777777" w:rsidR="002B4019" w:rsidRPr="001A7761" w:rsidRDefault="002B4019" w:rsidP="00617099">
      <w:pPr>
        <w:pStyle w:val="Style1"/>
      </w:pPr>
      <w:r w:rsidRPr="001A7761">
        <w:rPr>
          <w:rStyle w:val="EndnoteReference"/>
        </w:rPr>
        <w:endnoteRef/>
      </w:r>
      <w:r w:rsidRPr="001A7761">
        <w:t xml:space="preserve"> </w:t>
      </w:r>
      <w:r w:rsidRPr="001A7761">
        <w:t xml:space="preserve">ICAO, </w:t>
      </w:r>
      <w:proofErr w:type="spellStart"/>
      <w:r w:rsidRPr="001A7761">
        <w:t>Dok</w:t>
      </w:r>
      <w:proofErr w:type="spellEnd"/>
      <w:r w:rsidRPr="001A7761">
        <w:t> 9944 Linji Gwida dwar ir-Reġistru tal-Ismijiet tal-Passiġġieri (PNR), L-Ewwel Edizzjoni — 2010.</w:t>
      </w:r>
    </w:p>
  </w:endnote>
  <w:endnote w:id="5">
    <w:p w14:paraId="446DEA2B" w14:textId="77777777" w:rsidR="002B4019" w:rsidRPr="001A7761" w:rsidRDefault="002B4019" w:rsidP="00617099">
      <w:pPr>
        <w:pStyle w:val="Style1"/>
      </w:pPr>
      <w:r w:rsidRPr="001A7761">
        <w:rPr>
          <w:rStyle w:val="EndnoteReference"/>
        </w:rPr>
        <w:endnoteRef/>
      </w:r>
      <w:r w:rsidRPr="001A7761">
        <w:t xml:space="preserve"> </w:t>
      </w:r>
      <w:r w:rsidRPr="001A7761">
        <w:t xml:space="preserve">Riżoluzzjoni tal-Kunsill tas-Sigurtà 2396 (2017) dwar theddid għall-paċi u s-sigurtà internazzjonali kkawżati mir-ritorn ta’ ġellieda </w:t>
      </w:r>
      <w:proofErr w:type="spellStart"/>
      <w:r w:rsidRPr="001A7761">
        <w:t>terroristiċi</w:t>
      </w:r>
      <w:proofErr w:type="spellEnd"/>
      <w:r w:rsidRPr="001A7761">
        <w:t xml:space="preserve"> barranin, adottata mill-Kunsill tas-Sigurtà fil-laqgħa tiegħu numru 8148, fil-21 ta’ Diċembru 2017, il-punt 12.</w:t>
      </w:r>
    </w:p>
  </w:endnote>
  <w:endnote w:id="6">
    <w:p w14:paraId="34AF0F9E" w14:textId="2CABBBAA" w:rsidR="000C2F0E" w:rsidRPr="001A7761" w:rsidRDefault="000C2F0E" w:rsidP="00617099">
      <w:pPr>
        <w:pStyle w:val="Style1"/>
      </w:pPr>
      <w:r w:rsidRPr="001A7761">
        <w:rPr>
          <w:rStyle w:val="EndnoteReference"/>
        </w:rPr>
        <w:endnoteRef/>
      </w:r>
      <w:r w:rsidRPr="001A7761">
        <w:t xml:space="preserve"> </w:t>
      </w:r>
      <w:r w:rsidRPr="001A7761">
        <w:t xml:space="preserve">Ara l-Opinjoni 2/2019 tal-EDPS dwar il-mandat għan-negozjar ta’ ftehim UE-US dwar aċċess </w:t>
      </w:r>
      <w:proofErr w:type="spellStart"/>
      <w:r w:rsidRPr="001A7761">
        <w:t>transfruntier</w:t>
      </w:r>
      <w:proofErr w:type="spellEnd"/>
      <w:r w:rsidRPr="001A7761">
        <w:t xml:space="preserve"> għal evidenza elettronika u l-Opinjoni 3/2019 tal-EDPS dwar il-parteċipazzjoni fin-negozjati bil-ħsieb tat-Tieni Protokoll Addizzjonali għall-Konvenzjoni dwar </w:t>
      </w:r>
      <w:proofErr w:type="spellStart"/>
      <w:r w:rsidRPr="001A7761">
        <w:t>iċ-Ċiberkriminalità</w:t>
      </w:r>
      <w:proofErr w:type="spellEnd"/>
      <w:r w:rsidRPr="001A7761">
        <w:t xml:space="preserve"> ta’ Budapest, disponibbli fi: </w:t>
      </w:r>
      <w:hyperlink r:id="rId1" w:history="1">
        <w:r w:rsidRPr="001A7761">
          <w:rPr>
            <w:rStyle w:val="Hyperlink"/>
          </w:rPr>
          <w:t>https://edps.europa.eu/sites/edp/files/publication/19-04-02_edps_opinion_on_eu_us_agreement_on_e-evidence_en.pdf</w:t>
        </w:r>
      </w:hyperlink>
      <w:r w:rsidRPr="001A7761">
        <w:t xml:space="preserve"> u</w:t>
      </w:r>
    </w:p>
    <w:p w14:paraId="3AF6EE40" w14:textId="6C21E2F5" w:rsidR="000C2F0E" w:rsidRPr="001A7761" w:rsidRDefault="00BD3203" w:rsidP="009600CE">
      <w:pPr>
        <w:pStyle w:val="EndnoteText"/>
        <w:jc w:val="both"/>
        <w:rPr>
          <w:rFonts w:ascii="Times New Roman" w:hAnsi="Times New Roman"/>
        </w:rPr>
      </w:pPr>
      <w:hyperlink r:id="rId2" w:history="1">
        <w:r w:rsidR="00B11FC2" w:rsidRPr="001A7761">
          <w:rPr>
            <w:rStyle w:val="Hyperlink"/>
            <w:rFonts w:ascii="Times New Roman" w:hAnsi="Times New Roman"/>
          </w:rPr>
          <w:t>https://edps.europa.eu/sites/edp/files/publication/19-04-02_edps_opinion_budapest_convention_en.p</w:t>
        </w:r>
        <w:bookmarkStart w:id="2" w:name="_GoBack"/>
        <w:bookmarkEnd w:id="2"/>
        <w:r w:rsidR="00B11FC2" w:rsidRPr="001A7761">
          <w:rPr>
            <w:rStyle w:val="Hyperlink"/>
            <w:rFonts w:ascii="Times New Roman" w:hAnsi="Times New Roman"/>
          </w:rPr>
          <w:t>df</w:t>
        </w:r>
      </w:hyperlink>
      <w:r w:rsidR="00B11FC2" w:rsidRPr="001A7761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A7761" w:rsidR="001A7761" w:rsidRDefault="001A7761" w14:paraId="3AB35D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A7761" w:rsidR="00621B53" w:rsidP="00D065E1" w:rsidRDefault="00621B53" w14:paraId="703AAF17" w14:textId="2137951D">
    <w:pPr>
      <w:pStyle w:val="Footer"/>
      <w:pBdr>
        <w:top w:val="single" w:color="D9D9D9" w:themeColor="background1" w:themeShade="D9" w:sz="4" w:space="1"/>
      </w:pBdr>
      <w:jc w:val="right"/>
      <w:rPr>
        <w:color w:val="808080" w:themeColor="background1" w:themeShade="80"/>
        <w:spacing w:val="60"/>
      </w:rPr>
    </w:pPr>
  </w:p>
  <w:p w:rsidRPr="001A7761" w:rsidR="00621B53" w:rsidRDefault="00621B53" w14:paraId="165BF6E0" w14:textId="77777777">
    <w:pPr>
      <w:pStyle w:val="Footer"/>
    </w:pPr>
  </w:p>
  <w:p w:rsidRPr="001A7761" w:rsidR="00621B53" w:rsidRDefault="00621B53" w14:paraId="611AAA0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A7761" w:rsidR="00621B53" w:rsidP="00076A31" w:rsidRDefault="00621B53" w14:paraId="5B07118A" w14:textId="0951BA98">
    <w:pPr>
      <w:pStyle w:val="Footer"/>
      <w:pBdr>
        <w:top w:val="single" w:color="D9D9D9" w:themeColor="background1" w:themeShade="D9" w:sz="4" w:space="1"/>
      </w:pBdr>
      <w:jc w:val="right"/>
    </w:pPr>
  </w:p>
  <w:p w:rsidRPr="001A7761" w:rsidR="00621B53" w:rsidRDefault="00621B53" w14:paraId="3938CD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A88B" w14:textId="77777777" w:rsidR="00BD3203" w:rsidRDefault="00BD3203" w:rsidP="00EE2109">
      <w:r>
        <w:separator/>
      </w:r>
    </w:p>
  </w:footnote>
  <w:footnote w:type="continuationSeparator" w:id="0">
    <w:p w14:paraId="734C5477" w14:textId="77777777" w:rsidR="00BD3203" w:rsidRDefault="00BD3203" w:rsidP="00EE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A7761" w:rsidR="001A7761" w:rsidRDefault="001A7761" w14:paraId="1466F3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A7761" w:rsidR="001A7761" w:rsidRDefault="001A7761" w14:paraId="2A826E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A7761" w:rsidR="001A7761" w:rsidRDefault="001A7761" w14:paraId="0BEEDF5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23"/>
    <w:multiLevelType w:val="hybridMultilevel"/>
    <w:tmpl w:val="6922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78C"/>
    <w:multiLevelType w:val="hybridMultilevel"/>
    <w:tmpl w:val="5F1AC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DC6"/>
    <w:multiLevelType w:val="hybridMultilevel"/>
    <w:tmpl w:val="D3143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BA7"/>
    <w:multiLevelType w:val="hybridMultilevel"/>
    <w:tmpl w:val="0D9C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E86"/>
    <w:multiLevelType w:val="hybridMultilevel"/>
    <w:tmpl w:val="7730076E"/>
    <w:lvl w:ilvl="0" w:tplc="69901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D475B"/>
    <w:multiLevelType w:val="multilevel"/>
    <w:tmpl w:val="77E2855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275B65"/>
    <w:multiLevelType w:val="hybridMultilevel"/>
    <w:tmpl w:val="DCF0A260"/>
    <w:lvl w:ilvl="0" w:tplc="D4C0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C23"/>
    <w:multiLevelType w:val="hybridMultilevel"/>
    <w:tmpl w:val="9FB0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1A1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3F116B"/>
    <w:multiLevelType w:val="hybridMultilevel"/>
    <w:tmpl w:val="3118F048"/>
    <w:lvl w:ilvl="0" w:tplc="04DA5B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120D3"/>
    <w:multiLevelType w:val="hybridMultilevel"/>
    <w:tmpl w:val="FA12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8A5"/>
    <w:multiLevelType w:val="hybridMultilevel"/>
    <w:tmpl w:val="592C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31C58"/>
    <w:multiLevelType w:val="hybridMultilevel"/>
    <w:tmpl w:val="386A81F8"/>
    <w:lvl w:ilvl="0" w:tplc="3F842DE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CD6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01F24"/>
    <w:multiLevelType w:val="multilevel"/>
    <w:tmpl w:val="E58E1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02CE"/>
    <w:multiLevelType w:val="multilevel"/>
    <w:tmpl w:val="6B923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E3765"/>
    <w:multiLevelType w:val="hybridMultilevel"/>
    <w:tmpl w:val="B97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4EB4"/>
    <w:multiLevelType w:val="hybridMultilevel"/>
    <w:tmpl w:val="4E78AF06"/>
    <w:lvl w:ilvl="0" w:tplc="E5BE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lang w:val="en-GB"/>
      </w:rPr>
    </w:lvl>
    <w:lvl w:ilvl="1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vertAlign w:val="baseline"/>
      </w:rPr>
    </w:lvl>
    <w:lvl w:ilvl="2" w:tplc="67743F40">
      <w:start w:val="1"/>
      <w:numFmt w:val="lowerLetter"/>
      <w:lvlText w:val="(%3)"/>
      <w:lvlJc w:val="left"/>
      <w:pPr>
        <w:ind w:left="2318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b w:val="0"/>
        <w:i w:val="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8" w15:restartNumberingAfterBreak="0">
    <w:nsid w:val="5A7A33BB"/>
    <w:multiLevelType w:val="hybridMultilevel"/>
    <w:tmpl w:val="8E40BBA8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55D5A3A"/>
    <w:multiLevelType w:val="hybridMultilevel"/>
    <w:tmpl w:val="569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23DF"/>
    <w:multiLevelType w:val="hybridMultilevel"/>
    <w:tmpl w:val="B53C6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10"/>
    <w:multiLevelType w:val="hybridMultilevel"/>
    <w:tmpl w:val="870AED6E"/>
    <w:lvl w:ilvl="0" w:tplc="58228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784"/>
    <w:multiLevelType w:val="multilevel"/>
    <w:tmpl w:val="373A06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074AA4"/>
    <w:multiLevelType w:val="hybridMultilevel"/>
    <w:tmpl w:val="6A32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3848"/>
    <w:multiLevelType w:val="hybridMultilevel"/>
    <w:tmpl w:val="A1826D14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18"/>
  </w:num>
  <w:num w:numId="13">
    <w:abstractNumId w:val="24"/>
  </w:num>
  <w:num w:numId="14">
    <w:abstractNumId w:val="10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  <w:num w:numId="22">
    <w:abstractNumId w:val="9"/>
  </w:num>
  <w:num w:numId="23">
    <w:abstractNumId w:val="5"/>
  </w:num>
  <w:num w:numId="24">
    <w:abstractNumId w:val="12"/>
  </w:num>
  <w:num w:numId="25">
    <w:abstractNumId w:val="1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9"/>
    <w:rsid w:val="00001F64"/>
    <w:rsid w:val="00006D28"/>
    <w:rsid w:val="00007024"/>
    <w:rsid w:val="00011CD6"/>
    <w:rsid w:val="00014506"/>
    <w:rsid w:val="000154A5"/>
    <w:rsid w:val="00016ACA"/>
    <w:rsid w:val="00017B0C"/>
    <w:rsid w:val="000229E9"/>
    <w:rsid w:val="00032414"/>
    <w:rsid w:val="00033562"/>
    <w:rsid w:val="00034993"/>
    <w:rsid w:val="0003564C"/>
    <w:rsid w:val="00036309"/>
    <w:rsid w:val="00036BB1"/>
    <w:rsid w:val="00040497"/>
    <w:rsid w:val="00040910"/>
    <w:rsid w:val="00041759"/>
    <w:rsid w:val="000505CB"/>
    <w:rsid w:val="000511C3"/>
    <w:rsid w:val="00051C38"/>
    <w:rsid w:val="000529F8"/>
    <w:rsid w:val="00057664"/>
    <w:rsid w:val="00063045"/>
    <w:rsid w:val="00065A7A"/>
    <w:rsid w:val="00067D0E"/>
    <w:rsid w:val="00074161"/>
    <w:rsid w:val="000752FA"/>
    <w:rsid w:val="000760C6"/>
    <w:rsid w:val="00076A31"/>
    <w:rsid w:val="000805A4"/>
    <w:rsid w:val="000806DF"/>
    <w:rsid w:val="000957ED"/>
    <w:rsid w:val="000966DD"/>
    <w:rsid w:val="000A165C"/>
    <w:rsid w:val="000A1C01"/>
    <w:rsid w:val="000A5BC9"/>
    <w:rsid w:val="000A5E02"/>
    <w:rsid w:val="000A6610"/>
    <w:rsid w:val="000B01C4"/>
    <w:rsid w:val="000B02B4"/>
    <w:rsid w:val="000B23D3"/>
    <w:rsid w:val="000B32B8"/>
    <w:rsid w:val="000B7EC8"/>
    <w:rsid w:val="000C0FCA"/>
    <w:rsid w:val="000C2F0E"/>
    <w:rsid w:val="000C6282"/>
    <w:rsid w:val="000D0219"/>
    <w:rsid w:val="000D22B6"/>
    <w:rsid w:val="000E23D7"/>
    <w:rsid w:val="000E3CED"/>
    <w:rsid w:val="000E427E"/>
    <w:rsid w:val="000E48E9"/>
    <w:rsid w:val="000F00CE"/>
    <w:rsid w:val="000F1F34"/>
    <w:rsid w:val="000F2C34"/>
    <w:rsid w:val="000F33CF"/>
    <w:rsid w:val="000F4438"/>
    <w:rsid w:val="000F548B"/>
    <w:rsid w:val="000F70EB"/>
    <w:rsid w:val="00100578"/>
    <w:rsid w:val="001024A2"/>
    <w:rsid w:val="0010469A"/>
    <w:rsid w:val="00105B54"/>
    <w:rsid w:val="00106ED4"/>
    <w:rsid w:val="001073ED"/>
    <w:rsid w:val="0010766F"/>
    <w:rsid w:val="00107A0A"/>
    <w:rsid w:val="00111EE6"/>
    <w:rsid w:val="00121625"/>
    <w:rsid w:val="001223EB"/>
    <w:rsid w:val="00126176"/>
    <w:rsid w:val="0012671F"/>
    <w:rsid w:val="00131601"/>
    <w:rsid w:val="001328D0"/>
    <w:rsid w:val="001354BE"/>
    <w:rsid w:val="00136B7F"/>
    <w:rsid w:val="0014071B"/>
    <w:rsid w:val="0014656A"/>
    <w:rsid w:val="00146F3B"/>
    <w:rsid w:val="00152B43"/>
    <w:rsid w:val="00152D82"/>
    <w:rsid w:val="00153840"/>
    <w:rsid w:val="00154AC6"/>
    <w:rsid w:val="00163AB9"/>
    <w:rsid w:val="00164E5D"/>
    <w:rsid w:val="001677B4"/>
    <w:rsid w:val="001733C8"/>
    <w:rsid w:val="00173BCD"/>
    <w:rsid w:val="00181448"/>
    <w:rsid w:val="00182BB6"/>
    <w:rsid w:val="001834C6"/>
    <w:rsid w:val="0018626A"/>
    <w:rsid w:val="00186C7E"/>
    <w:rsid w:val="001876A0"/>
    <w:rsid w:val="00194EAB"/>
    <w:rsid w:val="001A0AA3"/>
    <w:rsid w:val="001A3CEF"/>
    <w:rsid w:val="001A73A3"/>
    <w:rsid w:val="001A7761"/>
    <w:rsid w:val="001B364E"/>
    <w:rsid w:val="001B5F6B"/>
    <w:rsid w:val="001B5FE0"/>
    <w:rsid w:val="001C0ABC"/>
    <w:rsid w:val="001C393D"/>
    <w:rsid w:val="001C3C58"/>
    <w:rsid w:val="001C770A"/>
    <w:rsid w:val="001D1E3B"/>
    <w:rsid w:val="001D419A"/>
    <w:rsid w:val="001D4BE8"/>
    <w:rsid w:val="001D74A9"/>
    <w:rsid w:val="001D7BD9"/>
    <w:rsid w:val="001E0B04"/>
    <w:rsid w:val="001E2BAD"/>
    <w:rsid w:val="001E4ABE"/>
    <w:rsid w:val="001E6C10"/>
    <w:rsid w:val="001E7C91"/>
    <w:rsid w:val="001F0032"/>
    <w:rsid w:val="001F059A"/>
    <w:rsid w:val="001F110A"/>
    <w:rsid w:val="001F4614"/>
    <w:rsid w:val="001F5488"/>
    <w:rsid w:val="001F61D5"/>
    <w:rsid w:val="001F74BE"/>
    <w:rsid w:val="001F77A1"/>
    <w:rsid w:val="0021216C"/>
    <w:rsid w:val="00213865"/>
    <w:rsid w:val="00213E0C"/>
    <w:rsid w:val="002164BD"/>
    <w:rsid w:val="00232292"/>
    <w:rsid w:val="00236231"/>
    <w:rsid w:val="00237D55"/>
    <w:rsid w:val="00240EE0"/>
    <w:rsid w:val="002421B8"/>
    <w:rsid w:val="00247527"/>
    <w:rsid w:val="00251CAB"/>
    <w:rsid w:val="00252C97"/>
    <w:rsid w:val="002569F6"/>
    <w:rsid w:val="00256DE1"/>
    <w:rsid w:val="002606BE"/>
    <w:rsid w:val="00261A8F"/>
    <w:rsid w:val="0026468E"/>
    <w:rsid w:val="002647CC"/>
    <w:rsid w:val="00270F50"/>
    <w:rsid w:val="002737B5"/>
    <w:rsid w:val="0027595C"/>
    <w:rsid w:val="002810DD"/>
    <w:rsid w:val="00281C4C"/>
    <w:rsid w:val="0028321A"/>
    <w:rsid w:val="00284E13"/>
    <w:rsid w:val="00285A96"/>
    <w:rsid w:val="002A7A52"/>
    <w:rsid w:val="002B0ED1"/>
    <w:rsid w:val="002B221E"/>
    <w:rsid w:val="002B2257"/>
    <w:rsid w:val="002B3379"/>
    <w:rsid w:val="002B4019"/>
    <w:rsid w:val="002B40DA"/>
    <w:rsid w:val="002C2A74"/>
    <w:rsid w:val="002D33E6"/>
    <w:rsid w:val="002D4295"/>
    <w:rsid w:val="002E69B2"/>
    <w:rsid w:val="002F40D6"/>
    <w:rsid w:val="002F4E34"/>
    <w:rsid w:val="00300BDF"/>
    <w:rsid w:val="00303072"/>
    <w:rsid w:val="003030A8"/>
    <w:rsid w:val="00306297"/>
    <w:rsid w:val="0030787A"/>
    <w:rsid w:val="00312B76"/>
    <w:rsid w:val="003142BB"/>
    <w:rsid w:val="00314EED"/>
    <w:rsid w:val="003150B1"/>
    <w:rsid w:val="003257A1"/>
    <w:rsid w:val="00331A79"/>
    <w:rsid w:val="00332C7F"/>
    <w:rsid w:val="003335B0"/>
    <w:rsid w:val="00342B32"/>
    <w:rsid w:val="00343B76"/>
    <w:rsid w:val="0035019C"/>
    <w:rsid w:val="0035115D"/>
    <w:rsid w:val="00351B87"/>
    <w:rsid w:val="003661D2"/>
    <w:rsid w:val="00367F83"/>
    <w:rsid w:val="003711E5"/>
    <w:rsid w:val="0038457D"/>
    <w:rsid w:val="00386B21"/>
    <w:rsid w:val="003901D2"/>
    <w:rsid w:val="003920FA"/>
    <w:rsid w:val="0039252B"/>
    <w:rsid w:val="0039712A"/>
    <w:rsid w:val="00397D2C"/>
    <w:rsid w:val="003A2895"/>
    <w:rsid w:val="003A2BB9"/>
    <w:rsid w:val="003A7EB0"/>
    <w:rsid w:val="003B3524"/>
    <w:rsid w:val="003B3F22"/>
    <w:rsid w:val="003B66D9"/>
    <w:rsid w:val="003B6E66"/>
    <w:rsid w:val="003B7A97"/>
    <w:rsid w:val="003C0656"/>
    <w:rsid w:val="003C0731"/>
    <w:rsid w:val="003C1BE3"/>
    <w:rsid w:val="003C35D5"/>
    <w:rsid w:val="003C42E0"/>
    <w:rsid w:val="003C4596"/>
    <w:rsid w:val="003C4970"/>
    <w:rsid w:val="003C7335"/>
    <w:rsid w:val="003D15C6"/>
    <w:rsid w:val="003D347C"/>
    <w:rsid w:val="003D4107"/>
    <w:rsid w:val="003D5187"/>
    <w:rsid w:val="003E068E"/>
    <w:rsid w:val="003F2070"/>
    <w:rsid w:val="003F5FA4"/>
    <w:rsid w:val="00402059"/>
    <w:rsid w:val="004021BC"/>
    <w:rsid w:val="00402B9B"/>
    <w:rsid w:val="00410938"/>
    <w:rsid w:val="00414981"/>
    <w:rsid w:val="00415899"/>
    <w:rsid w:val="00417A3B"/>
    <w:rsid w:val="00420708"/>
    <w:rsid w:val="00421439"/>
    <w:rsid w:val="004214DA"/>
    <w:rsid w:val="00426524"/>
    <w:rsid w:val="00433F9B"/>
    <w:rsid w:val="00443651"/>
    <w:rsid w:val="0044551F"/>
    <w:rsid w:val="00446002"/>
    <w:rsid w:val="00451CDE"/>
    <w:rsid w:val="004529D5"/>
    <w:rsid w:val="00456876"/>
    <w:rsid w:val="0046171E"/>
    <w:rsid w:val="004632FE"/>
    <w:rsid w:val="00470059"/>
    <w:rsid w:val="00470946"/>
    <w:rsid w:val="004727D2"/>
    <w:rsid w:val="00473A52"/>
    <w:rsid w:val="00473E28"/>
    <w:rsid w:val="004742DB"/>
    <w:rsid w:val="00483118"/>
    <w:rsid w:val="00486545"/>
    <w:rsid w:val="00486C67"/>
    <w:rsid w:val="00491D61"/>
    <w:rsid w:val="00491ECE"/>
    <w:rsid w:val="004936DE"/>
    <w:rsid w:val="004947E1"/>
    <w:rsid w:val="00494B4A"/>
    <w:rsid w:val="00495FFC"/>
    <w:rsid w:val="004A4129"/>
    <w:rsid w:val="004B2750"/>
    <w:rsid w:val="004B4F3D"/>
    <w:rsid w:val="004B6B12"/>
    <w:rsid w:val="004C0607"/>
    <w:rsid w:val="004C1A8D"/>
    <w:rsid w:val="004C2089"/>
    <w:rsid w:val="004C29E4"/>
    <w:rsid w:val="004C7EBE"/>
    <w:rsid w:val="004D0167"/>
    <w:rsid w:val="004D2021"/>
    <w:rsid w:val="004D4A20"/>
    <w:rsid w:val="004E19BF"/>
    <w:rsid w:val="004F1916"/>
    <w:rsid w:val="004F1DCB"/>
    <w:rsid w:val="004F1F68"/>
    <w:rsid w:val="004F25FC"/>
    <w:rsid w:val="004F3850"/>
    <w:rsid w:val="004F38B9"/>
    <w:rsid w:val="004F39CC"/>
    <w:rsid w:val="004F4409"/>
    <w:rsid w:val="004F65A4"/>
    <w:rsid w:val="004F6920"/>
    <w:rsid w:val="00501BF1"/>
    <w:rsid w:val="005035D0"/>
    <w:rsid w:val="00503F3B"/>
    <w:rsid w:val="005053C8"/>
    <w:rsid w:val="00505AA4"/>
    <w:rsid w:val="00506106"/>
    <w:rsid w:val="00511F4F"/>
    <w:rsid w:val="0051238B"/>
    <w:rsid w:val="005147A1"/>
    <w:rsid w:val="0052195B"/>
    <w:rsid w:val="00521AFE"/>
    <w:rsid w:val="0052422B"/>
    <w:rsid w:val="00524AF0"/>
    <w:rsid w:val="005259B6"/>
    <w:rsid w:val="005261B3"/>
    <w:rsid w:val="005306E1"/>
    <w:rsid w:val="00540195"/>
    <w:rsid w:val="005443D6"/>
    <w:rsid w:val="00544C56"/>
    <w:rsid w:val="00547461"/>
    <w:rsid w:val="00547E04"/>
    <w:rsid w:val="00555746"/>
    <w:rsid w:val="005612BE"/>
    <w:rsid w:val="00562F3E"/>
    <w:rsid w:val="00567A57"/>
    <w:rsid w:val="00571068"/>
    <w:rsid w:val="005722ED"/>
    <w:rsid w:val="00572785"/>
    <w:rsid w:val="005759BF"/>
    <w:rsid w:val="00580A2E"/>
    <w:rsid w:val="005850A4"/>
    <w:rsid w:val="00586208"/>
    <w:rsid w:val="005864CD"/>
    <w:rsid w:val="00590C34"/>
    <w:rsid w:val="0059330F"/>
    <w:rsid w:val="00593D21"/>
    <w:rsid w:val="00593E8D"/>
    <w:rsid w:val="005947D2"/>
    <w:rsid w:val="00595DA7"/>
    <w:rsid w:val="005A51D4"/>
    <w:rsid w:val="005A7CA9"/>
    <w:rsid w:val="005B26A2"/>
    <w:rsid w:val="005B36C4"/>
    <w:rsid w:val="005B3D89"/>
    <w:rsid w:val="005B4B62"/>
    <w:rsid w:val="005B6491"/>
    <w:rsid w:val="005B7E87"/>
    <w:rsid w:val="005C422E"/>
    <w:rsid w:val="005D3A0E"/>
    <w:rsid w:val="005D45BC"/>
    <w:rsid w:val="005E39C6"/>
    <w:rsid w:val="005E3FDC"/>
    <w:rsid w:val="005E54A4"/>
    <w:rsid w:val="005E5F56"/>
    <w:rsid w:val="005F05E7"/>
    <w:rsid w:val="005F637D"/>
    <w:rsid w:val="00600E2E"/>
    <w:rsid w:val="006019FB"/>
    <w:rsid w:val="006031EC"/>
    <w:rsid w:val="00606623"/>
    <w:rsid w:val="00612229"/>
    <w:rsid w:val="006130E4"/>
    <w:rsid w:val="00617099"/>
    <w:rsid w:val="00621B53"/>
    <w:rsid w:val="00622611"/>
    <w:rsid w:val="00624704"/>
    <w:rsid w:val="006252F5"/>
    <w:rsid w:val="0063369E"/>
    <w:rsid w:val="00637697"/>
    <w:rsid w:val="006405EF"/>
    <w:rsid w:val="0064285B"/>
    <w:rsid w:val="00644C8C"/>
    <w:rsid w:val="006478F4"/>
    <w:rsid w:val="00650DB1"/>
    <w:rsid w:val="006541B0"/>
    <w:rsid w:val="00655FB4"/>
    <w:rsid w:val="006578F4"/>
    <w:rsid w:val="006630C6"/>
    <w:rsid w:val="00667D2B"/>
    <w:rsid w:val="0067008E"/>
    <w:rsid w:val="006705A2"/>
    <w:rsid w:val="00671181"/>
    <w:rsid w:val="0067375B"/>
    <w:rsid w:val="00673C00"/>
    <w:rsid w:val="0067579E"/>
    <w:rsid w:val="00676D92"/>
    <w:rsid w:val="00683165"/>
    <w:rsid w:val="00696030"/>
    <w:rsid w:val="006A20B1"/>
    <w:rsid w:val="006A5785"/>
    <w:rsid w:val="006A7D96"/>
    <w:rsid w:val="006B6B5D"/>
    <w:rsid w:val="006C45DB"/>
    <w:rsid w:val="006D1D22"/>
    <w:rsid w:val="006D1DB4"/>
    <w:rsid w:val="006D281A"/>
    <w:rsid w:val="006E1287"/>
    <w:rsid w:val="006F5510"/>
    <w:rsid w:val="006F591F"/>
    <w:rsid w:val="0070059F"/>
    <w:rsid w:val="00713A4E"/>
    <w:rsid w:val="00714F61"/>
    <w:rsid w:val="0071743D"/>
    <w:rsid w:val="007216B9"/>
    <w:rsid w:val="00722E03"/>
    <w:rsid w:val="00723810"/>
    <w:rsid w:val="00730CA6"/>
    <w:rsid w:val="00732059"/>
    <w:rsid w:val="00732C03"/>
    <w:rsid w:val="007350BE"/>
    <w:rsid w:val="007352FC"/>
    <w:rsid w:val="007353E7"/>
    <w:rsid w:val="0074083E"/>
    <w:rsid w:val="00740C6E"/>
    <w:rsid w:val="00743463"/>
    <w:rsid w:val="00747784"/>
    <w:rsid w:val="007503E3"/>
    <w:rsid w:val="00750DE9"/>
    <w:rsid w:val="00755430"/>
    <w:rsid w:val="00762CBC"/>
    <w:rsid w:val="00766663"/>
    <w:rsid w:val="00771EFC"/>
    <w:rsid w:val="00774120"/>
    <w:rsid w:val="00776054"/>
    <w:rsid w:val="0078222A"/>
    <w:rsid w:val="00787776"/>
    <w:rsid w:val="007906A4"/>
    <w:rsid w:val="007956DA"/>
    <w:rsid w:val="00795CBD"/>
    <w:rsid w:val="007A212E"/>
    <w:rsid w:val="007A684B"/>
    <w:rsid w:val="007B1880"/>
    <w:rsid w:val="007B1A02"/>
    <w:rsid w:val="007B6B42"/>
    <w:rsid w:val="007B795B"/>
    <w:rsid w:val="007C14A0"/>
    <w:rsid w:val="007C204E"/>
    <w:rsid w:val="007C2E57"/>
    <w:rsid w:val="007C45FE"/>
    <w:rsid w:val="007D02F8"/>
    <w:rsid w:val="007D0E0F"/>
    <w:rsid w:val="007D5E73"/>
    <w:rsid w:val="007D7060"/>
    <w:rsid w:val="007E30F8"/>
    <w:rsid w:val="007E39B3"/>
    <w:rsid w:val="007F078C"/>
    <w:rsid w:val="007F3AFE"/>
    <w:rsid w:val="007F4815"/>
    <w:rsid w:val="007F5893"/>
    <w:rsid w:val="007F77AF"/>
    <w:rsid w:val="0080089F"/>
    <w:rsid w:val="00806409"/>
    <w:rsid w:val="00807D35"/>
    <w:rsid w:val="00813800"/>
    <w:rsid w:val="008161E2"/>
    <w:rsid w:val="0082019A"/>
    <w:rsid w:val="00823236"/>
    <w:rsid w:val="008360B8"/>
    <w:rsid w:val="0084317F"/>
    <w:rsid w:val="0084692C"/>
    <w:rsid w:val="00855BB9"/>
    <w:rsid w:val="00861A2D"/>
    <w:rsid w:val="00862AB0"/>
    <w:rsid w:val="0086329A"/>
    <w:rsid w:val="008704C7"/>
    <w:rsid w:val="00872808"/>
    <w:rsid w:val="00873C73"/>
    <w:rsid w:val="00875B0B"/>
    <w:rsid w:val="00875FA8"/>
    <w:rsid w:val="00877C95"/>
    <w:rsid w:val="008807F7"/>
    <w:rsid w:val="00893DEB"/>
    <w:rsid w:val="00895F51"/>
    <w:rsid w:val="00897398"/>
    <w:rsid w:val="008A47EC"/>
    <w:rsid w:val="008B2088"/>
    <w:rsid w:val="008B2B00"/>
    <w:rsid w:val="008B2D33"/>
    <w:rsid w:val="008B47C3"/>
    <w:rsid w:val="008B4FAB"/>
    <w:rsid w:val="008B5026"/>
    <w:rsid w:val="008B6BB1"/>
    <w:rsid w:val="008B70EE"/>
    <w:rsid w:val="008C285A"/>
    <w:rsid w:val="008D13E1"/>
    <w:rsid w:val="008D25AE"/>
    <w:rsid w:val="008D36F0"/>
    <w:rsid w:val="008D7DBA"/>
    <w:rsid w:val="008E48FC"/>
    <w:rsid w:val="008F114D"/>
    <w:rsid w:val="008F5B9D"/>
    <w:rsid w:val="00900AFE"/>
    <w:rsid w:val="00905D02"/>
    <w:rsid w:val="009168B8"/>
    <w:rsid w:val="00916A64"/>
    <w:rsid w:val="009173FF"/>
    <w:rsid w:val="0092055D"/>
    <w:rsid w:val="00920880"/>
    <w:rsid w:val="00920C9F"/>
    <w:rsid w:val="00923E53"/>
    <w:rsid w:val="009249B6"/>
    <w:rsid w:val="00924ABC"/>
    <w:rsid w:val="0094561E"/>
    <w:rsid w:val="00945A2D"/>
    <w:rsid w:val="00952226"/>
    <w:rsid w:val="00957B35"/>
    <w:rsid w:val="009600CE"/>
    <w:rsid w:val="0096187F"/>
    <w:rsid w:val="00962E0F"/>
    <w:rsid w:val="00965DEE"/>
    <w:rsid w:val="009723ED"/>
    <w:rsid w:val="0097257F"/>
    <w:rsid w:val="00975261"/>
    <w:rsid w:val="00981C5F"/>
    <w:rsid w:val="009820F1"/>
    <w:rsid w:val="0098755E"/>
    <w:rsid w:val="00991819"/>
    <w:rsid w:val="009935E6"/>
    <w:rsid w:val="00993934"/>
    <w:rsid w:val="00993B68"/>
    <w:rsid w:val="009A0D3C"/>
    <w:rsid w:val="009A3AD5"/>
    <w:rsid w:val="009A4F1C"/>
    <w:rsid w:val="009A548A"/>
    <w:rsid w:val="009A5AB4"/>
    <w:rsid w:val="009A6113"/>
    <w:rsid w:val="009A64EB"/>
    <w:rsid w:val="009A6520"/>
    <w:rsid w:val="009B059F"/>
    <w:rsid w:val="009B18DA"/>
    <w:rsid w:val="009B2A0A"/>
    <w:rsid w:val="009B76E6"/>
    <w:rsid w:val="009D0910"/>
    <w:rsid w:val="009D4CB9"/>
    <w:rsid w:val="009E03E1"/>
    <w:rsid w:val="009E77F4"/>
    <w:rsid w:val="009F1C6E"/>
    <w:rsid w:val="009F5880"/>
    <w:rsid w:val="00A01E59"/>
    <w:rsid w:val="00A04073"/>
    <w:rsid w:val="00A064BF"/>
    <w:rsid w:val="00A06782"/>
    <w:rsid w:val="00A108EB"/>
    <w:rsid w:val="00A11EE7"/>
    <w:rsid w:val="00A16D7D"/>
    <w:rsid w:val="00A2525D"/>
    <w:rsid w:val="00A26587"/>
    <w:rsid w:val="00A31037"/>
    <w:rsid w:val="00A32ECA"/>
    <w:rsid w:val="00A34C17"/>
    <w:rsid w:val="00A405DA"/>
    <w:rsid w:val="00A40D99"/>
    <w:rsid w:val="00A41CAB"/>
    <w:rsid w:val="00A41D88"/>
    <w:rsid w:val="00A443C2"/>
    <w:rsid w:val="00A51B28"/>
    <w:rsid w:val="00A55719"/>
    <w:rsid w:val="00A5608F"/>
    <w:rsid w:val="00A564F5"/>
    <w:rsid w:val="00A60789"/>
    <w:rsid w:val="00A66FB7"/>
    <w:rsid w:val="00A71B52"/>
    <w:rsid w:val="00A73BA5"/>
    <w:rsid w:val="00A77584"/>
    <w:rsid w:val="00A83447"/>
    <w:rsid w:val="00A83E3B"/>
    <w:rsid w:val="00A85933"/>
    <w:rsid w:val="00A93B96"/>
    <w:rsid w:val="00A9717E"/>
    <w:rsid w:val="00A975C0"/>
    <w:rsid w:val="00AA3F9E"/>
    <w:rsid w:val="00AA50F4"/>
    <w:rsid w:val="00AA6AF3"/>
    <w:rsid w:val="00AB0EDB"/>
    <w:rsid w:val="00AB1059"/>
    <w:rsid w:val="00AB2466"/>
    <w:rsid w:val="00AB3370"/>
    <w:rsid w:val="00AB5F3E"/>
    <w:rsid w:val="00AB699C"/>
    <w:rsid w:val="00AB6C12"/>
    <w:rsid w:val="00AB77D8"/>
    <w:rsid w:val="00AB7E8E"/>
    <w:rsid w:val="00AC00FB"/>
    <w:rsid w:val="00AC751D"/>
    <w:rsid w:val="00AD4A21"/>
    <w:rsid w:val="00AD7E58"/>
    <w:rsid w:val="00AE204F"/>
    <w:rsid w:val="00AE33F2"/>
    <w:rsid w:val="00AE442D"/>
    <w:rsid w:val="00AE75C1"/>
    <w:rsid w:val="00AF59D9"/>
    <w:rsid w:val="00AF7B67"/>
    <w:rsid w:val="00B0086E"/>
    <w:rsid w:val="00B01414"/>
    <w:rsid w:val="00B02394"/>
    <w:rsid w:val="00B0562C"/>
    <w:rsid w:val="00B05761"/>
    <w:rsid w:val="00B07357"/>
    <w:rsid w:val="00B11FC2"/>
    <w:rsid w:val="00B1217F"/>
    <w:rsid w:val="00B134FC"/>
    <w:rsid w:val="00B16829"/>
    <w:rsid w:val="00B21983"/>
    <w:rsid w:val="00B23FBC"/>
    <w:rsid w:val="00B3145D"/>
    <w:rsid w:val="00B33445"/>
    <w:rsid w:val="00B34201"/>
    <w:rsid w:val="00B34B75"/>
    <w:rsid w:val="00B3748D"/>
    <w:rsid w:val="00B378CE"/>
    <w:rsid w:val="00B43A4F"/>
    <w:rsid w:val="00B47E6A"/>
    <w:rsid w:val="00B52447"/>
    <w:rsid w:val="00B618AA"/>
    <w:rsid w:val="00B65AFF"/>
    <w:rsid w:val="00B67676"/>
    <w:rsid w:val="00B677EA"/>
    <w:rsid w:val="00B67842"/>
    <w:rsid w:val="00B70EC1"/>
    <w:rsid w:val="00B77DB4"/>
    <w:rsid w:val="00B77E77"/>
    <w:rsid w:val="00B82DCD"/>
    <w:rsid w:val="00B83EE2"/>
    <w:rsid w:val="00B91BF3"/>
    <w:rsid w:val="00BA59C1"/>
    <w:rsid w:val="00BA5E3F"/>
    <w:rsid w:val="00BA6ED1"/>
    <w:rsid w:val="00BB12F8"/>
    <w:rsid w:val="00BB3F97"/>
    <w:rsid w:val="00BC1402"/>
    <w:rsid w:val="00BC243B"/>
    <w:rsid w:val="00BC35F9"/>
    <w:rsid w:val="00BD1B7D"/>
    <w:rsid w:val="00BD1EBD"/>
    <w:rsid w:val="00BD3203"/>
    <w:rsid w:val="00BE017A"/>
    <w:rsid w:val="00BE05CD"/>
    <w:rsid w:val="00BE2486"/>
    <w:rsid w:val="00BE62A6"/>
    <w:rsid w:val="00C10F80"/>
    <w:rsid w:val="00C23459"/>
    <w:rsid w:val="00C25753"/>
    <w:rsid w:val="00C31CF7"/>
    <w:rsid w:val="00C33E61"/>
    <w:rsid w:val="00C415E1"/>
    <w:rsid w:val="00C46B74"/>
    <w:rsid w:val="00C506A6"/>
    <w:rsid w:val="00C51DF9"/>
    <w:rsid w:val="00C53D3F"/>
    <w:rsid w:val="00C53F0D"/>
    <w:rsid w:val="00C5417D"/>
    <w:rsid w:val="00C55DAC"/>
    <w:rsid w:val="00C56F94"/>
    <w:rsid w:val="00C5747F"/>
    <w:rsid w:val="00C60581"/>
    <w:rsid w:val="00C6254C"/>
    <w:rsid w:val="00C6355B"/>
    <w:rsid w:val="00C6373E"/>
    <w:rsid w:val="00C67183"/>
    <w:rsid w:val="00C706C6"/>
    <w:rsid w:val="00C71B2B"/>
    <w:rsid w:val="00C73A90"/>
    <w:rsid w:val="00C74561"/>
    <w:rsid w:val="00C7512B"/>
    <w:rsid w:val="00C76A08"/>
    <w:rsid w:val="00C94068"/>
    <w:rsid w:val="00CA18EB"/>
    <w:rsid w:val="00CB0A54"/>
    <w:rsid w:val="00CB36DB"/>
    <w:rsid w:val="00CC1383"/>
    <w:rsid w:val="00CC7C9E"/>
    <w:rsid w:val="00CC7DA5"/>
    <w:rsid w:val="00CD048D"/>
    <w:rsid w:val="00CE1660"/>
    <w:rsid w:val="00CE2B5E"/>
    <w:rsid w:val="00CE6E2C"/>
    <w:rsid w:val="00CF000E"/>
    <w:rsid w:val="00CF048E"/>
    <w:rsid w:val="00CF4418"/>
    <w:rsid w:val="00CF5E87"/>
    <w:rsid w:val="00CF655A"/>
    <w:rsid w:val="00CF75C1"/>
    <w:rsid w:val="00D01C96"/>
    <w:rsid w:val="00D065E1"/>
    <w:rsid w:val="00D119BC"/>
    <w:rsid w:val="00D15D8D"/>
    <w:rsid w:val="00D22CDF"/>
    <w:rsid w:val="00D320B5"/>
    <w:rsid w:val="00D341C9"/>
    <w:rsid w:val="00D34D70"/>
    <w:rsid w:val="00D36040"/>
    <w:rsid w:val="00D416B4"/>
    <w:rsid w:val="00D479BA"/>
    <w:rsid w:val="00D52070"/>
    <w:rsid w:val="00D559E7"/>
    <w:rsid w:val="00D56055"/>
    <w:rsid w:val="00D56B01"/>
    <w:rsid w:val="00D62B38"/>
    <w:rsid w:val="00D72B25"/>
    <w:rsid w:val="00D7480B"/>
    <w:rsid w:val="00D80CFA"/>
    <w:rsid w:val="00D81D6F"/>
    <w:rsid w:val="00D82520"/>
    <w:rsid w:val="00D828BA"/>
    <w:rsid w:val="00D8307A"/>
    <w:rsid w:val="00D856DE"/>
    <w:rsid w:val="00D85726"/>
    <w:rsid w:val="00D85A75"/>
    <w:rsid w:val="00D86331"/>
    <w:rsid w:val="00D909D3"/>
    <w:rsid w:val="00D93B6B"/>
    <w:rsid w:val="00D9545B"/>
    <w:rsid w:val="00D95F72"/>
    <w:rsid w:val="00D967FD"/>
    <w:rsid w:val="00DA34BC"/>
    <w:rsid w:val="00DA3D70"/>
    <w:rsid w:val="00DA4A04"/>
    <w:rsid w:val="00DA5170"/>
    <w:rsid w:val="00DA7EF6"/>
    <w:rsid w:val="00DB63DA"/>
    <w:rsid w:val="00DC05B5"/>
    <w:rsid w:val="00DC12A7"/>
    <w:rsid w:val="00DC4371"/>
    <w:rsid w:val="00DC6B1F"/>
    <w:rsid w:val="00DC7100"/>
    <w:rsid w:val="00DD4B3E"/>
    <w:rsid w:val="00DD77A2"/>
    <w:rsid w:val="00DD7BD0"/>
    <w:rsid w:val="00DE0639"/>
    <w:rsid w:val="00DE260E"/>
    <w:rsid w:val="00DE678E"/>
    <w:rsid w:val="00DF109E"/>
    <w:rsid w:val="00E10A07"/>
    <w:rsid w:val="00E1712D"/>
    <w:rsid w:val="00E27EB1"/>
    <w:rsid w:val="00E30B0E"/>
    <w:rsid w:val="00E43A48"/>
    <w:rsid w:val="00E44974"/>
    <w:rsid w:val="00E46AF2"/>
    <w:rsid w:val="00E46CD7"/>
    <w:rsid w:val="00E47348"/>
    <w:rsid w:val="00E515CF"/>
    <w:rsid w:val="00E56CEF"/>
    <w:rsid w:val="00E56D10"/>
    <w:rsid w:val="00E57E7C"/>
    <w:rsid w:val="00E603D5"/>
    <w:rsid w:val="00E6069E"/>
    <w:rsid w:val="00E63C0D"/>
    <w:rsid w:val="00E64157"/>
    <w:rsid w:val="00E7112A"/>
    <w:rsid w:val="00E742D0"/>
    <w:rsid w:val="00E85FAB"/>
    <w:rsid w:val="00E9345F"/>
    <w:rsid w:val="00EA00BF"/>
    <w:rsid w:val="00EA0DCA"/>
    <w:rsid w:val="00EA1EA1"/>
    <w:rsid w:val="00EA5128"/>
    <w:rsid w:val="00EB400C"/>
    <w:rsid w:val="00EB6CCB"/>
    <w:rsid w:val="00EB7722"/>
    <w:rsid w:val="00EC6FB7"/>
    <w:rsid w:val="00ED1A1F"/>
    <w:rsid w:val="00ED3E6E"/>
    <w:rsid w:val="00ED7354"/>
    <w:rsid w:val="00ED7DF7"/>
    <w:rsid w:val="00EE02FE"/>
    <w:rsid w:val="00EE0BD0"/>
    <w:rsid w:val="00EE2109"/>
    <w:rsid w:val="00EE2D5F"/>
    <w:rsid w:val="00EE52CB"/>
    <w:rsid w:val="00EE6401"/>
    <w:rsid w:val="00EE6B7B"/>
    <w:rsid w:val="00EE75CB"/>
    <w:rsid w:val="00EF51EB"/>
    <w:rsid w:val="00F01D30"/>
    <w:rsid w:val="00F02902"/>
    <w:rsid w:val="00F07F56"/>
    <w:rsid w:val="00F21E14"/>
    <w:rsid w:val="00F25C47"/>
    <w:rsid w:val="00F26835"/>
    <w:rsid w:val="00F276C5"/>
    <w:rsid w:val="00F30102"/>
    <w:rsid w:val="00F327DB"/>
    <w:rsid w:val="00F45E66"/>
    <w:rsid w:val="00F470E2"/>
    <w:rsid w:val="00F50593"/>
    <w:rsid w:val="00F574B3"/>
    <w:rsid w:val="00F5794D"/>
    <w:rsid w:val="00F57E7D"/>
    <w:rsid w:val="00F62132"/>
    <w:rsid w:val="00F65D8A"/>
    <w:rsid w:val="00F75497"/>
    <w:rsid w:val="00F84C6F"/>
    <w:rsid w:val="00F91821"/>
    <w:rsid w:val="00F9185F"/>
    <w:rsid w:val="00F91FBA"/>
    <w:rsid w:val="00F92ABA"/>
    <w:rsid w:val="00F92B0E"/>
    <w:rsid w:val="00F96144"/>
    <w:rsid w:val="00FA6E01"/>
    <w:rsid w:val="00FB3C8D"/>
    <w:rsid w:val="00FB46FE"/>
    <w:rsid w:val="00FB4F9C"/>
    <w:rsid w:val="00FC05C7"/>
    <w:rsid w:val="00FC1F8F"/>
    <w:rsid w:val="00FC646E"/>
    <w:rsid w:val="00FE1013"/>
    <w:rsid w:val="00FE6DAB"/>
    <w:rsid w:val="00FE7998"/>
    <w:rsid w:val="00FE7CE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2F498"/>
  <w15:docId w15:val="{6B236D09-64F7-4D1E-96EF-F1AD04D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t-M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F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FE0"/>
    <w:pPr>
      <w:keepNext/>
      <w:numPr>
        <w:numId w:val="1"/>
      </w:numPr>
      <w:spacing w:after="240"/>
      <w:jc w:val="left"/>
      <w:outlineLvl w:val="0"/>
    </w:pPr>
    <w:rPr>
      <w:rFonts w:eastAsia="Adobe Gothic Std B"/>
      <w:b/>
      <w:bCs/>
      <w:color w:val="005DA4"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4F"/>
    <w:pPr>
      <w:spacing w:after="240"/>
      <w:jc w:val="left"/>
      <w:outlineLvl w:val="1"/>
    </w:pPr>
    <w:rPr>
      <w:b/>
      <w:color w:val="005DA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C56"/>
    <w:pPr>
      <w:keepNext/>
      <w:spacing w:after="240"/>
      <w:ind w:left="426" w:hanging="66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6BE"/>
    <w:pPr>
      <w:keepNext/>
      <w:spacing w:before="240"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1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1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1BF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FE0"/>
    <w:rPr>
      <w:rFonts w:ascii="Times New Roman" w:eastAsia="Adobe Gothic Std B" w:hAnsi="Times New Roman"/>
      <w:b/>
      <w:bCs/>
      <w:color w:val="005DA4"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E204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44C56"/>
    <w:rPr>
      <w:rFonts w:ascii="Times New Roman" w:hAnsi="Times New Roman"/>
      <w:b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2606BE"/>
    <w:rPr>
      <w:rFonts w:ascii="Times New Roman" w:hAnsi="Times New Roman"/>
      <w:b/>
      <w:bCs/>
      <w:color w:val="005DA4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1B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1B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1B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1B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1B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421B8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21B8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1B8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uiPriority w:val="11"/>
    <w:rsid w:val="002421B8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B91BF3"/>
    <w:rPr>
      <w:b/>
      <w:bCs/>
    </w:rPr>
  </w:style>
  <w:style w:type="character" w:styleId="Emphasis">
    <w:name w:val="Emphasis"/>
    <w:uiPriority w:val="20"/>
    <w:qFormat/>
    <w:rsid w:val="00B91BF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1BF3"/>
    <w:rPr>
      <w:szCs w:val="32"/>
    </w:rPr>
  </w:style>
  <w:style w:type="paragraph" w:styleId="ListParagraph">
    <w:name w:val="List Paragraph"/>
    <w:basedOn w:val="Normal"/>
    <w:uiPriority w:val="34"/>
    <w:qFormat/>
    <w:rsid w:val="00B9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BF3"/>
    <w:rPr>
      <w:i/>
    </w:rPr>
  </w:style>
  <w:style w:type="character" w:customStyle="1" w:styleId="QuoteChar">
    <w:name w:val="Quote Char"/>
    <w:link w:val="Quote"/>
    <w:uiPriority w:val="29"/>
    <w:rsid w:val="00B91B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1BF3"/>
    <w:rPr>
      <w:b/>
      <w:i/>
      <w:sz w:val="24"/>
    </w:rPr>
  </w:style>
  <w:style w:type="character" w:styleId="SubtleEmphasis">
    <w:name w:val="Subtle Emphasis"/>
    <w:uiPriority w:val="19"/>
    <w:qFormat/>
    <w:rsid w:val="00B91BF3"/>
    <w:rPr>
      <w:i/>
      <w:color w:val="5A5A5A"/>
    </w:rPr>
  </w:style>
  <w:style w:type="character" w:styleId="IntenseEmphasis">
    <w:name w:val="Intense Emphasis"/>
    <w:uiPriority w:val="21"/>
    <w:qFormat/>
    <w:rsid w:val="00B91B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1B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1BF3"/>
    <w:rPr>
      <w:b/>
      <w:sz w:val="24"/>
      <w:u w:val="single"/>
    </w:rPr>
  </w:style>
  <w:style w:type="character" w:styleId="BookTitle">
    <w:name w:val="Book Title"/>
    <w:uiPriority w:val="33"/>
    <w:qFormat/>
    <w:rsid w:val="00B91B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1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F33CF"/>
    <w:pPr>
      <w:tabs>
        <w:tab w:val="left" w:pos="440"/>
        <w:tab w:val="right" w:leader="dot" w:pos="9016"/>
      </w:tabs>
      <w:spacing w:before="120" w:after="120"/>
    </w:pPr>
    <w:rPr>
      <w:b/>
      <w:sz w:val="20"/>
    </w:rPr>
  </w:style>
  <w:style w:type="character" w:styleId="Hyperlink">
    <w:name w:val="Hyperlink"/>
    <w:unhideWhenUsed/>
    <w:rsid w:val="00EE21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1383"/>
    <w:pPr>
      <w:tabs>
        <w:tab w:val="left" w:pos="426"/>
        <w:tab w:val="right" w:leader="dot" w:pos="9016"/>
      </w:tabs>
      <w:spacing w:before="60" w:after="60"/>
    </w:pPr>
    <w:rPr>
      <w:caps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109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1"/>
    <w:rsid w:val="0012671F"/>
    <w:rPr>
      <w:rFonts w:ascii="Times New Roman" w:hAnsi="Times New Roman"/>
      <w:sz w:val="24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4ABE"/>
    <w:pPr>
      <w:tabs>
        <w:tab w:val="right" w:leader="dot" w:pos="9016"/>
      </w:tabs>
      <w:ind w:left="1276"/>
      <w:jc w:val="left"/>
    </w:pPr>
    <w:rPr>
      <w:rFonts w:eastAsia="MS Mincho" w:cs="Arial"/>
      <w:i/>
      <w:sz w:val="20"/>
      <w:szCs w:val="22"/>
      <w:lang w:eastAsia="ja-JP"/>
    </w:rPr>
  </w:style>
  <w:style w:type="character" w:customStyle="1" w:styleId="ColorfulGrid-Accent1Char">
    <w:name w:val="Colorful Grid - Accent 1 Char"/>
    <w:link w:val="ColorfulGrid-Accent1"/>
    <w:uiPriority w:val="29"/>
    <w:rsid w:val="0035115D"/>
    <w:rPr>
      <w:i/>
      <w:sz w:val="24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35115D"/>
    <w:rPr>
      <w:b/>
      <w:i/>
      <w:sz w:val="24"/>
    </w:rPr>
  </w:style>
  <w:style w:type="character" w:customStyle="1" w:styleId="Accentuationdiscrte">
    <w:name w:val="Accentuation discrète"/>
    <w:uiPriority w:val="19"/>
    <w:qFormat/>
    <w:rsid w:val="0035115D"/>
    <w:rPr>
      <w:i/>
      <w:color w:val="5A5A5A"/>
    </w:rPr>
  </w:style>
  <w:style w:type="character" w:customStyle="1" w:styleId="Forteaccentuation">
    <w:name w:val="Forte accentuation"/>
    <w:uiPriority w:val="21"/>
    <w:qFormat/>
    <w:rsid w:val="0035115D"/>
    <w:rPr>
      <w:b/>
      <w:i/>
      <w:sz w:val="24"/>
      <w:szCs w:val="24"/>
      <w:u w:val="single"/>
    </w:rPr>
  </w:style>
  <w:style w:type="character" w:customStyle="1" w:styleId="Rfrenceple">
    <w:name w:val="Référence pâle"/>
    <w:uiPriority w:val="31"/>
    <w:qFormat/>
    <w:rsid w:val="0035115D"/>
    <w:rPr>
      <w:sz w:val="24"/>
      <w:szCs w:val="24"/>
      <w:u w:val="single"/>
    </w:rPr>
  </w:style>
  <w:style w:type="character" w:customStyle="1" w:styleId="Rfrenceintense">
    <w:name w:val="Référence intense"/>
    <w:uiPriority w:val="32"/>
    <w:qFormat/>
    <w:rsid w:val="0035115D"/>
    <w:rPr>
      <w:b/>
      <w:sz w:val="24"/>
      <w:u w:val="single"/>
    </w:rPr>
  </w:style>
  <w:style w:type="character" w:customStyle="1" w:styleId="Titredulivre">
    <w:name w:val="Titre du livre"/>
    <w:uiPriority w:val="33"/>
    <w:qFormat/>
    <w:rsid w:val="0035115D"/>
    <w:rPr>
      <w:rFonts w:ascii="Cambria" w:eastAsia="Times New Roman" w:hAnsi="Cambria"/>
      <w:b/>
      <w:i/>
      <w:sz w:val="24"/>
      <w:szCs w:val="24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35115D"/>
    <w:pPr>
      <w:jc w:val="both"/>
      <w:outlineLvl w:val="9"/>
    </w:pPr>
    <w:rPr>
      <w:rFonts w:ascii="Arial" w:eastAsia="Times New Roman" w:hAnsi="Arial"/>
      <w:color w:val="auto"/>
      <w:sz w:val="32"/>
      <w:szCs w:val="32"/>
    </w:rPr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R,C"/>
    <w:uiPriority w:val="99"/>
    <w:unhideWhenUsed/>
    <w:qFormat/>
    <w:rsid w:val="0035115D"/>
    <w:rPr>
      <w:vertAlign w:val="superscript"/>
    </w:rPr>
  </w:style>
  <w:style w:type="paragraph" w:customStyle="1" w:styleId="Default">
    <w:name w:val="Default"/>
    <w:rsid w:val="00351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n,footnote text,Fußnotentext Char Char Char Char,Fußnotentext Char Char Char,Footnotetext,Footnotetext1,ftx,Footnotetext2,ftx1,Footnotetext3,ftx2,Footnotetext4,ftx3,Footnotetext5,ftx4,Footnotetext6,Footnotetext7,Footnotetext8"/>
    <w:basedOn w:val="Normal"/>
    <w:link w:val="FootnoteTextChar"/>
    <w:uiPriority w:val="99"/>
    <w:unhideWhenUsed/>
    <w:rsid w:val="0035115D"/>
    <w:rPr>
      <w:sz w:val="20"/>
      <w:szCs w:val="20"/>
    </w:rPr>
  </w:style>
  <w:style w:type="character" w:customStyle="1" w:styleId="FootnoteTextChar">
    <w:name w:val="Footnote Text Char"/>
    <w:aliases w:val="fn Char,footnote text Char,Fußnotentext Char Char Char Char Char,Fußnotentext Char Char Char Char1,Footnotetext Char,Footnotetext1 Char,ftx Char,Footnotetext2 Char,ftx1 Char,Footnotetext3 Char,ftx2 Char,Footnotetext4 Char,ftx3 Char"/>
    <w:link w:val="FootnoteText"/>
    <w:uiPriority w:val="99"/>
    <w:rsid w:val="0035115D"/>
    <w:rPr>
      <w:rFonts w:ascii="Times New Roman" w:hAnsi="Times New Roman"/>
      <w:lang w:val="mt-MT" w:eastAsia="en-US"/>
    </w:rPr>
  </w:style>
  <w:style w:type="character" w:styleId="CommentReference">
    <w:name w:val="annotation reference"/>
    <w:uiPriority w:val="99"/>
    <w:semiHidden/>
    <w:unhideWhenUsed/>
    <w:rsid w:val="0035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1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115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15D"/>
    <w:rPr>
      <w:rFonts w:ascii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35115D"/>
    <w:rPr>
      <w:color w:val="800080"/>
      <w:u w:val="single"/>
    </w:rPr>
  </w:style>
  <w:style w:type="table" w:styleId="TableGrid">
    <w:name w:val="Table Grid"/>
    <w:basedOn w:val="TableNormal"/>
    <w:uiPriority w:val="59"/>
    <w:rsid w:val="0035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115D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15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15D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15D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15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15D"/>
    <w:pPr>
      <w:ind w:left="1920"/>
      <w:jc w:val="left"/>
    </w:pPr>
    <w:rPr>
      <w:rFonts w:ascii="Calibri" w:hAnsi="Calibri" w:cs="Calibri"/>
      <w:sz w:val="18"/>
      <w:szCs w:val="18"/>
    </w:rPr>
  </w:style>
  <w:style w:type="table" w:styleId="ColorfulGrid-Accent1">
    <w:name w:val="Colorful Grid Accent 1"/>
    <w:basedOn w:val="TableNormal"/>
    <w:link w:val="ColorfulGrid-Accent1Char"/>
    <w:uiPriority w:val="29"/>
    <w:rsid w:val="0035115D"/>
    <w:rPr>
      <w:i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35115D"/>
    <w:rPr>
      <w:b/>
      <w:i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">
    <w:name w:val="HEADING"/>
    <w:basedOn w:val="Normal"/>
    <w:link w:val="HEADINGChar"/>
    <w:qFormat/>
    <w:rsid w:val="000F33CF"/>
    <w:rPr>
      <w:b/>
      <w:color w:val="005DA4"/>
    </w:rPr>
  </w:style>
  <w:style w:type="character" w:customStyle="1" w:styleId="MediumShading1-Accent3Char">
    <w:name w:val="Medium Shading 1 - Accent 3 Char"/>
    <w:link w:val="MediumShading1-Accent3"/>
    <w:uiPriority w:val="29"/>
    <w:rsid w:val="00B3748D"/>
    <w:rPr>
      <w:i/>
      <w:sz w:val="24"/>
      <w:szCs w:val="24"/>
    </w:rPr>
  </w:style>
  <w:style w:type="character" w:customStyle="1" w:styleId="HEADINGChar">
    <w:name w:val="HEADING Char"/>
    <w:link w:val="HEADING"/>
    <w:rsid w:val="000F33C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MediumShading2-Accent3Char">
    <w:name w:val="Medium Shading 2 - Accent 3 Char"/>
    <w:link w:val="MediumShading2-Accent3"/>
    <w:uiPriority w:val="30"/>
    <w:rsid w:val="00B3748D"/>
    <w:rPr>
      <w:b/>
      <w:i/>
      <w:sz w:val="24"/>
    </w:rPr>
  </w:style>
  <w:style w:type="table" w:styleId="MediumShading1-Accent3">
    <w:name w:val="Medium Shading 1 Accent 3"/>
    <w:basedOn w:val="TableNormal"/>
    <w:link w:val="MediumShading1-Accent3Char"/>
    <w:uiPriority w:val="29"/>
    <w:rsid w:val="00B3748D"/>
    <w:rPr>
      <w:i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link w:val="MediumShading2-Accent3Char"/>
    <w:uiPriority w:val="30"/>
    <w:rsid w:val="00B3748D"/>
    <w:rPr>
      <w:b/>
      <w:i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259B6"/>
    <w:pPr>
      <w:jc w:val="left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9B6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259B6"/>
    <w:rPr>
      <w:vertAlign w:val="superscript"/>
    </w:rPr>
  </w:style>
  <w:style w:type="character" w:customStyle="1" w:styleId="apple-converted-space">
    <w:name w:val="apple-converted-space"/>
    <w:basedOn w:val="DefaultParagraphFont"/>
    <w:rsid w:val="008B5026"/>
  </w:style>
  <w:style w:type="character" w:customStyle="1" w:styleId="FootnoteTextChar1">
    <w:name w:val="Footnote Text Char1"/>
    <w:uiPriority w:val="99"/>
    <w:locked/>
    <w:rsid w:val="001D419A"/>
    <w:rPr>
      <w:lang w:val="mt-MT" w:eastAsia="it-IT" w:bidi="ar-SA"/>
    </w:rPr>
  </w:style>
  <w:style w:type="paragraph" w:styleId="NormalWeb">
    <w:name w:val="Normal (Web)"/>
    <w:basedOn w:val="Normal"/>
    <w:uiPriority w:val="99"/>
    <w:semiHidden/>
    <w:unhideWhenUsed/>
    <w:rsid w:val="003901D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Style1">
    <w:name w:val="Style1"/>
    <w:basedOn w:val="EndnoteText"/>
    <w:qFormat/>
    <w:rsid w:val="00617099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0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dps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ps.europa.eu/sites/edp/files/publication/19-04-02_edps_opinion_budapest_convention_en.pdf" TargetMode="External"/><Relationship Id="rId1" Type="http://schemas.openxmlformats.org/officeDocument/2006/relationships/hyperlink" Target="https://edps.europa.eu/sites/edp/files/publication/19-04-02_edps_opinion_on_eu_us_agreement_on_e-evidenc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Amanda Joyce"/>
    <f:field ref="casefile_EDPSOM_103_3700_FieldCaseNumber" par="" text="2019-0881"/>
    <f:field ref="casefile_EDPSOM_103_3700_FieldTitle" par="" text="Passenger Name Record (PNR) data transfer negotiations with Japan"/>
    <f:field ref="casefile_EDPSOM_103_3700_FieldClass" par="" text="04.01.03 Consultation on international agreements"/>
    <f:field ref="casefile_EDPSOM_103_3700_FieldInitiator" par="" text="EDPS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  <f:field ref="objname" par="" text="Opinion_Recommendation_PNR_Japan_fin" edit="true"/>
    <f:field ref="objsubject" par="" text="" edit="true"/>
    <f:field ref="objcreatedby" par="" text="Angelov, Plamen"/>
    <f:field ref="objcreatedat" par="" date="2019-10-24T10:39:03" text="Oct 24, 2019 10:39:03 AM"/>
    <f:field ref="objchangedby" par="" text="Angelov, Plamen"/>
    <f:field ref="objmodifiedat" par="" date="2019-10-24T16:47:31" text="Oct 24, 2019 4:47:31 P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EDPSOM_103_3700_FieldSensitivity" text="Sensitivity"/>
    <f:field ref="EDPSOM_103_3700_FieldExternalRef" text="Sender's reference"/>
    <f:field ref="EDPSOM_103_3700_FieldDescription" text="Description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Case file">
    <f:field ref="casefile_EDPSOM_103_3700_FieldCaseNumber" text="Case number"/>
    <f:field ref="casefile_EDPSOM_103_3700_FieldTitle" text="Title"/>
    <f:field ref="casefile_EDPSOM_103_3700_FieldClass" text="Class"/>
    <f:field ref="casefile_EDPSOM_103_3700_FieldInitiator" text="Initiator"/>
    <f:field ref="casefile_EDPSOM_103_3700_FieldInterinstitutional" text="Interinstitutional numb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C9DFE7-330E-464F-8CB5-7A1A1A897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08607-E786-4D37-A6EC-AE6F1895549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1</ap:Pages>
  <ap:Words>1680</ap:Words>
  <ap:Characters>9582</ap:Characters>
  <ap:Application>Microsoft Office Word</ap:Application>
  <ap:DocSecurity>0</ap:DocSecurity>
  <ap:Lines>79</ap:Lines>
  <ap:Paragraphs>22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CDT</ap:Company>
  <ap:LinksUpToDate>false</ap:LinksUpToDate>
  <ap:CharactersWithSpaces>11240</ap:CharactersWithSpaces>
  <ap:SharedDoc>false</ap:SharedDoc>
  <ap:HLinks>
    <vt:vector baseType="variant" size="222"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_Toc418070558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_Toc418070557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_Toc418070556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_Toc418070555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_Toc418070554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_Toc418070553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_Toc418070552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_Toc418070551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_Toc418070550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_Toc418070549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_Toc418070548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_Toc418070547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_Toc418070546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_Toc418070545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_Toc418070544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_Toc418070543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_Toc418070542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_Toc418070541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_Toc418070540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_Toc418070539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_Toc418070538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_Toc418070537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_Toc418070536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_Toc418070535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_Toc418070534</vt:lpwstr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http://idpc.gov.mt/dbfile.aspx/Opinion3_2013.pdf</vt:lpwstr>
      </vt:variant>
      <vt:variant>
        <vt:lpwstr/>
      </vt:variant>
      <vt:variant>
        <vt:i4>524333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http://ec.europa.eu/justice/policies/privacy/docs/wpdocs/2010/wp169_en.pdf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http://ec.europa.eu/justice/data-protection/article-29/documentation/opinion-recommendation/index_en.htm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https://secure.edps.europa.eu/EDPSWEB/edps/EDPS/IPEN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http://www.enisa.europa.eu/activities/Resilience-and-CIIP/critical-applications/smartphone-security-1/smartphone-secure-development-guidelines/at_download/fullReport</vt:lpwstr>
      </vt:variant>
      <vt:variant>
        <vt:lpwstr/>
      </vt:variant>
      <vt:variant>
        <vt:i4>2818081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https://wcd.coe.int/ViewDoc.jsp?id=1710949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http://online.wsj.com/article/SB10001424052748704694004576020083703574602.html</vt:lpwstr>
      </vt:variant>
      <vt:variant>
        <vt:lpwstr/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http://ec.europa.eu/justice/data-protection/article-29/documentation/other-document/files/2015/20150205_letter_art29wp_ec_health_data_after_plenary_en.pdf</vt:lpwstr>
      </vt:variant>
      <vt:variant>
        <vt:lpwstr/>
      </vt:variant>
      <vt:variant>
        <vt:i4>6291531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http://ec.europa.eu/justice/data-protection/article-29/documentation/opinion-recommendation/files/2014/wp216_en.pdf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http://ec.europa.eu/justice/policies/privacy/docs/wpdocs/2007/wp136_en.pdf</vt:lpwstr>
      </vt:variant>
      <vt:variant>
        <vt:lpwstr/>
      </vt:variant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https://secure.edps.europa.eu/EDPSWEB/webdav/site/mySite/shared/Documents/Consultation/Thematic%20Guidelines/14-11-25_Financial_Guidelines_EN.pdf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http://ec.europa.eu/justice/data-protection/article-29/documentation/opinion-recommendation/files/2013/wp202_en.pdf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12</revision>
  <lastPrinted>2019-10-24T14:21:00.0000000Z</lastPrinted>
  <dcterms:created xsi:type="dcterms:W3CDTF">2019-10-25T09:45:00.0000000Z</dcterms:created>
  <dcterms:modified xsi:type="dcterms:W3CDTF">2019-11-08T13:41:00.0000000Z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PSOM@103.3700:edpscasenumber">
    <vt:lpwstr>2019-0881</vt:lpwstr>
  </property>
  <property fmtid="{D5CDD505-2E9C-101B-9397-08002B2CF9AE}" pid="3" name="FSC#EDPSOM@103.3700:edpscasetitle">
    <vt:lpwstr>Passenger Name Record (PNR) data transfer negotiations with Japan</vt:lpwstr>
  </property>
  <property fmtid="{D5CDD505-2E9C-101B-9397-08002B2CF9AE}" pid="4" name="FSC#EDPSOM@103.3700:edpscasedescription">
    <vt:lpwstr>Passenger Name Record (PNR) data transfer negotiations with Japan</vt:lpwstr>
  </property>
  <property fmtid="{D5CDD505-2E9C-101B-9397-08002B2CF9AE}" pid="5" name="FSC#EDPSOM@103.3700:edpsarrivalnumber">
    <vt:lpwstr/>
  </property>
  <property fmtid="{D5CDD505-2E9C-101B-9397-08002B2CF9AE}" pid="6" name="FSC#EDPSOM@103.3700:edpsdeparturenumber">
    <vt:lpwstr/>
  </property>
  <property fmtid="{D5CDD505-2E9C-101B-9397-08002B2CF9AE}" pid="7" name="FSC#COOSYSTEM@1.1:Container">
    <vt:lpwstr>COO.6515.100.4.380260</vt:lpwstr>
  </property>
  <property fmtid="{D5CDD505-2E9C-101B-9397-08002B2CF9AE}" pid="8" name="FSC#FSCFOLIO@1.1001:docpropproject">
    <vt:lpwstr/>
  </property>
</Properties>
</file>