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0E9E" w:rsidR="00993934" w:rsidP="00306297" w:rsidRDefault="00993934" w14:paraId="3AA01DBC" w14:textId="7167B3F8">
      <w:pPr>
        <w:rPr>
          <w:b/>
          <w:i/>
        </w:rPr>
      </w:pPr>
      <w:r w:rsidRPr="009A0E9E">
        <w:rPr>
          <w:b/>
        </w:rPr>
        <w:t>Streszczenie opinii Europejskiego Inspektora Ochrony Danych w sprawie mandatu negocjacyjnego dotyczącego umowy między UE a Japonią o przekazywaniu i wykorzystywaniu danych dotyczących przelotu pasażera</w:t>
      </w:r>
    </w:p>
    <w:p w:rsidRPr="009A0E9E" w:rsidR="00993934" w:rsidP="00306297" w:rsidRDefault="00993934" w14:paraId="3B817892" w14:textId="77777777">
      <w:pPr>
        <w:rPr>
          <w:i/>
        </w:rPr>
      </w:pPr>
    </w:p>
    <w:p w:rsidRPr="009A0E9E" w:rsidR="00993934" w:rsidP="00993934" w:rsidRDefault="00993934" w14:paraId="2E31B8C9" w14:textId="77777777">
      <w:pPr>
        <w:rPr>
          <w:i/>
        </w:rPr>
      </w:pPr>
      <w:r w:rsidRPr="009A0E9E">
        <w:rPr>
          <w:i/>
        </w:rPr>
        <w:t xml:space="preserve">[Pełny tekst niniejszej opinii jest dostępny w wersji angielskiej, francuskiej i niemieckiej na stronie internetowej EIOD </w:t>
      </w:r>
      <w:hyperlink w:history="1" r:id="rId10">
        <w:r w:rsidRPr="009A0E9E">
          <w:rPr>
            <w:rStyle w:val="Hyperlink"/>
            <w:i/>
          </w:rPr>
          <w:t>www.edps.europa.eu</w:t>
        </w:r>
      </w:hyperlink>
      <w:r w:rsidRPr="009A0E9E">
        <w:rPr>
          <w:i/>
        </w:rPr>
        <w:t>]</w:t>
      </w:r>
    </w:p>
    <w:p w:rsidRPr="009A0E9E" w:rsidR="00993934" w:rsidP="00306297" w:rsidRDefault="00993934" w14:paraId="56FC0468" w14:textId="77777777">
      <w:pPr>
        <w:rPr>
          <w:b/>
          <w:color w:val="005DA4"/>
        </w:rPr>
      </w:pPr>
    </w:p>
    <w:p w:rsidRPr="009A0E9E" w:rsidR="0010766F" w:rsidP="00993934" w:rsidRDefault="0010766F" w14:paraId="22479FE6" w14:textId="5A1B18ED">
      <w:pPr>
        <w:spacing w:after="200"/>
      </w:pPr>
      <w:r w:rsidRPr="009A0E9E">
        <w:t>W dniu 27 września 2019 r. Komisja Europejska przyjęła zalecenie w sprawie decyzji Rady odnośnie do upoważnienia do rozpoczęcia negocjacji w sprawie umowy między Unią Europejską a Japonią o przekazywaniu i wykorzystywaniu danych dotyczących przelotu pasażera (danych PNR) w celu zapobiegania terroryzmowi i innym poważnym przestępstwom transgranicznym oraz ich zwalczania. Celem planowanej umowy jest ustanowienie podstawy prawnej i warunków, na jakich przewoźnicy lotniczy będą upoważnieni do przekazywania Japonii danych PNR pasażerów podróżujących między UE a Japonią, zgodnie z wymogami prawa Unii, w tym z Kartą praw podstawowych UE.</w:t>
      </w:r>
    </w:p>
    <w:p w:rsidRPr="009A0E9E" w:rsidR="00303072" w:rsidP="00993934" w:rsidRDefault="00303072" w14:paraId="75FC61D9" w14:textId="556B0E90">
      <w:pPr>
        <w:spacing w:after="200"/>
      </w:pPr>
      <w:r w:rsidRPr="009A0E9E">
        <w:t>EIOD z zadowoleniem przyjmuje fakt, że mandat negocjacyjny ma na celu zapewnienie pełnego poszanowania podstawowych praw i wolności zapisanych w art. 7 i art. 8 Karty praw podstawowych UE, jak również zasad konieczności i proporcjonalności, zgodnie z wykładnią Trybunału Sprawiedliwości zawartą w opinii 1/15 dotyczącej umowy między UE a Kanadą w sprawie danych PNR.</w:t>
      </w:r>
    </w:p>
    <w:p w:rsidRPr="009A0E9E" w:rsidR="0010766F" w:rsidP="00993934" w:rsidRDefault="00FC1F8F" w14:paraId="67D55334" w14:textId="3CE3783A">
      <w:pPr>
        <w:spacing w:after="200"/>
      </w:pPr>
      <w:r w:rsidRPr="009A0E9E">
        <w:t>Biorąc pod uwagę wpływ planowanej umowy na prawa podstawowe bardzo dużej liczby osób niezaangażowanych w działalność przestępczą, EIOD uważa, że powinna ona zawierać wszelkie gwarancje materialne i proceduralne niezbędne do zapewnienia proporcjonalności systemu PNR oraz ograniczenia ingerencji w prawo do prywatności i ochrony danych tylko do tego, co jest absolutnie niezbędne i uzasadnione interesem ogólnym Unii. W tym celu EIOD formułuje szereg zaleceń w celu udoskonalenia wytycznych negocjacyjnych, takich jak:</w:t>
      </w:r>
    </w:p>
    <w:p w:rsidRPr="009A0E9E" w:rsidR="00303072" w:rsidP="00993934" w:rsidRDefault="00303072" w14:paraId="7353752B" w14:textId="46C0C7A7">
      <w:pPr>
        <w:pStyle w:val="ListParagraph"/>
        <w:numPr>
          <w:ilvl w:val="0"/>
          <w:numId w:val="22"/>
        </w:numPr>
      </w:pPr>
      <w:proofErr w:type="gramStart"/>
      <w:r w:rsidRPr="009A0E9E">
        <w:t>rygorystyczne</w:t>
      </w:r>
      <w:proofErr w:type="gramEnd"/>
      <w:r w:rsidRPr="009A0E9E">
        <w:t xml:space="preserve"> podejście do konieczności i proporcjonalności systemu danych PNR;</w:t>
      </w:r>
    </w:p>
    <w:p w:rsidRPr="009A0E9E" w:rsidR="00F5794D" w:rsidP="00993934" w:rsidRDefault="00303072" w14:paraId="78BEFD50" w14:textId="07DBD786">
      <w:pPr>
        <w:pStyle w:val="ListParagraph"/>
        <w:numPr>
          <w:ilvl w:val="0"/>
          <w:numId w:val="22"/>
        </w:numPr>
      </w:pPr>
      <w:proofErr w:type="gramStart"/>
      <w:r w:rsidRPr="009A0E9E">
        <w:t>zgodnie</w:t>
      </w:r>
      <w:proofErr w:type="gramEnd"/>
      <w:r w:rsidRPr="009A0E9E">
        <w:t xml:space="preserve"> z zasadą celowości dalsze wykorzystywanie przekazanych danych PNR do innych celów powinno być bardzo dobrze uzasadnione, określone w jasny i precyzyjny sposób oraz ograniczone do tego, co absolutnie niezbędne;</w:t>
      </w:r>
    </w:p>
    <w:p w:rsidRPr="009A0E9E" w:rsidR="00303072" w:rsidP="00993934" w:rsidRDefault="00303072" w14:paraId="30AE3CA2" w14:textId="08E13F22">
      <w:pPr>
        <w:pStyle w:val="ListParagraph"/>
        <w:numPr>
          <w:ilvl w:val="0"/>
          <w:numId w:val="22"/>
        </w:numPr>
      </w:pPr>
      <w:proofErr w:type="gramStart"/>
      <w:r w:rsidRPr="009A0E9E">
        <w:t>decyzja</w:t>
      </w:r>
      <w:proofErr w:type="gramEnd"/>
      <w:r w:rsidRPr="009A0E9E">
        <w:t xml:space="preserve"> Rady upoważniająca do rozpoczęcia negocjacji powinna zawierać odniesienie nie tylko do proceduralnej podstawy prawnej, lecz również do materialnej podstawy prawnej, w tym do art. 16 TFUE;</w:t>
      </w:r>
    </w:p>
    <w:p w:rsidRPr="009A0E9E" w:rsidR="00F5794D" w:rsidP="00993934" w:rsidRDefault="00303072" w14:paraId="5208CF56" w14:textId="6CE040D8">
      <w:pPr>
        <w:pStyle w:val="ListParagraph"/>
        <w:numPr>
          <w:ilvl w:val="0"/>
          <w:numId w:val="22"/>
        </w:numPr>
      </w:pPr>
      <w:proofErr w:type="gramStart"/>
      <w:r w:rsidRPr="009A0E9E">
        <w:t>należy</w:t>
      </w:r>
      <w:proofErr w:type="gramEnd"/>
      <w:r w:rsidRPr="009A0E9E">
        <w:t xml:space="preserve"> zwrócić szczególną uwagę na zapobieganie ryzyku spowodowania pośredniego ujawnienia szczególnych kategorii danych dotyczących pasażerów lotniczych, a także ryzyku ponownej identyfikacji osób po </w:t>
      </w:r>
      <w:proofErr w:type="spellStart"/>
      <w:r w:rsidRPr="009A0E9E">
        <w:t>anonimizacji</w:t>
      </w:r>
      <w:proofErr w:type="spellEnd"/>
      <w:r w:rsidRPr="009A0E9E">
        <w:t xml:space="preserve"> danych PNR odnoszących się do nich;</w:t>
      </w:r>
    </w:p>
    <w:p w:rsidRPr="009A0E9E" w:rsidR="009A64EB" w:rsidP="00993934" w:rsidRDefault="009A64EB" w14:paraId="3706F806" w14:textId="327024A2">
      <w:pPr>
        <w:pStyle w:val="ListParagraph"/>
        <w:numPr>
          <w:ilvl w:val="0"/>
          <w:numId w:val="22"/>
        </w:numPr>
        <w:spacing w:after="200"/>
      </w:pPr>
      <w:proofErr w:type="gramStart"/>
      <w:r w:rsidRPr="009A0E9E">
        <w:t>planowana</w:t>
      </w:r>
      <w:proofErr w:type="gramEnd"/>
      <w:r w:rsidRPr="009A0E9E">
        <w:t xml:space="preserve"> umowa powinna zawierać klauzule umożliwiające jej zawieszenie w przypadku naruszeń postawień tejże umowy, a także wypowiedzenie umowy, jeżeli jej nieprzestrzeganie ma poważny i trwały charakter.</w:t>
      </w:r>
    </w:p>
    <w:p w:rsidRPr="009A0E9E" w:rsidR="0010766F" w:rsidP="00993934" w:rsidRDefault="0010766F" w14:paraId="2165D998" w14:textId="3B8E35C4">
      <w:pPr>
        <w:spacing w:after="200"/>
      </w:pPr>
      <w:r w:rsidRPr="009A0E9E">
        <w:t>Dalsze szczegółowe zalecenia EIOD zostały przedstawione w niniejszej opinii.</w:t>
      </w:r>
    </w:p>
    <w:p w:rsidRPr="009A0E9E" w:rsidR="006031EC" w:rsidP="00993934" w:rsidRDefault="0010766F" w14:paraId="5B5966C5" w14:textId="20FEC9B7">
      <w:pPr>
        <w:spacing w:after="200"/>
      </w:pPr>
      <w:r w:rsidRPr="009A0E9E">
        <w:t>EIOD pozostaje do dyspozycji instytucji, aby w razie czego służyć radą w trakcie negocjacji. EIOD oczekuje, że projekt umowy zostanie z nim skonsultowany na późniejszych etapach finalizacji zgodnie z art. 42 rozporządzenia (UE) 2018/1725.</w:t>
      </w:r>
    </w:p>
    <w:p w:rsidRPr="009A0E9E" w:rsidR="006031EC" w:rsidRDefault="006031EC" w14:paraId="698D4805" w14:textId="77777777">
      <w:pPr>
        <w:jc w:val="left"/>
      </w:pPr>
      <w:r w:rsidRPr="009A0E9E">
        <w:br w:type="page"/>
      </w:r>
    </w:p>
    <w:p w:rsidRPr="009A0E9E" w:rsidR="002B4019" w:rsidP="00993934" w:rsidRDefault="006A20B1" w14:paraId="7E3E9A85" w14:textId="25B99B66">
      <w:pPr>
        <w:pStyle w:val="Heading1"/>
        <w:keepLines/>
        <w:numPr>
          <w:ilvl w:val="0"/>
          <w:numId w:val="2"/>
        </w:numPr>
        <w:spacing w:after="200"/>
        <w:jc w:val="both"/>
        <w:rPr>
          <w:sz w:val="32"/>
          <w:szCs w:val="32"/>
        </w:rPr>
      </w:pPr>
      <w:bookmarkStart w:name="_Toc425509692" w:id="0"/>
      <w:r w:rsidRPr="009A0E9E">
        <w:rPr>
          <w:sz w:val="32"/>
          <w:szCs w:val="32"/>
        </w:rPr>
        <w:lastRenderedPageBreak/>
        <w:tab/>
      </w:r>
      <w:bookmarkStart w:name="_Toc22124185" w:id="1"/>
      <w:r w:rsidRPr="009A0E9E">
        <w:rPr>
          <w:sz w:val="32"/>
          <w:szCs w:val="32"/>
        </w:rPr>
        <w:t>WPROWADZENIE I KONTEKST</w:t>
      </w:r>
      <w:bookmarkEnd w:id="1"/>
    </w:p>
    <w:p w:rsidRPr="009A0E9E" w:rsidR="009F5880" w:rsidP="00EA1EA1" w:rsidRDefault="00040910" w14:paraId="2EE4956E" w14:textId="77777777">
      <w:pPr>
        <w:pStyle w:val="ListParagraph"/>
        <w:numPr>
          <w:ilvl w:val="0"/>
          <w:numId w:val="11"/>
        </w:numPr>
        <w:spacing w:after="240"/>
      </w:pPr>
      <w:r w:rsidRPr="009A0E9E">
        <w:t>W dniu 27 września 2019 r. Komisja Europejska przyjęła zalecenie w sprawie decyzji Rady odnośnie do upoważnienia do rozpoczęcia negocjacji w sprawie umowy między Unią Europejską (UE) a Japonią o przekazywaniu i wykorzystywaniu danych dotyczących przelotu pasażera (danych PNR) w celu zapobiegania terroryzmowi i innym poważnym przestępstwom transgranicznym oraz ich zwalczania. W załączniku do zalecenia (zwanym dalej „załącznikiem”) określono wytyczne negocjacyjne Rady dla Komisji, tj. cele, która powinna ona osiągnąć w imieniu UE w trakcie negocjacji.</w:t>
      </w:r>
    </w:p>
    <w:p w:rsidRPr="009A0E9E" w:rsidR="00EA1EA1" w:rsidP="00EA1EA1" w:rsidRDefault="00EA1EA1" w14:paraId="12455888" w14:textId="77777777">
      <w:pPr>
        <w:pStyle w:val="ListParagraph"/>
        <w:spacing w:after="240"/>
        <w:ind w:left="360"/>
      </w:pPr>
    </w:p>
    <w:p w:rsidRPr="009A0E9E" w:rsidR="006405EF" w:rsidP="00EA1EA1" w:rsidRDefault="009A3AD5" w14:paraId="09621C65" w14:textId="77777777">
      <w:pPr>
        <w:pStyle w:val="ListParagraph"/>
        <w:numPr>
          <w:ilvl w:val="0"/>
          <w:numId w:val="11"/>
        </w:numPr>
        <w:spacing w:after="200"/>
      </w:pPr>
      <w:r w:rsidRPr="009A0E9E">
        <w:t>Zalecenie przyjęto na podstawie procedury określonej w art. 218 Traktatu o funkcjonowaniu Unii Europejskiej (TFUE) dla umów zawartych między UE a państwami trzecimi. Poprzez to zalecenie Komisja dąży do uzyskania od Rady upoważnienia do objęcia roli negocjatora z ramienia UE w celu rozpoczęcia negocjacji z Japonią, zgodnie z mandatem negocjacyjnym. Po zakończeniu negocjacji, aby mogło dojść do zawarcia umowy, Parlament Europejski będzie musiał zaakceptować wynegocjowany tekst umowy, natomiast Rada będzie musiała przyjąć decyzję o zawarciu umowy.</w:t>
      </w:r>
    </w:p>
    <w:p w:rsidRPr="009A0E9E" w:rsidR="00EA1EA1" w:rsidP="00EA1EA1" w:rsidRDefault="00EA1EA1" w14:paraId="13E81102" w14:textId="77777777">
      <w:pPr>
        <w:pStyle w:val="ListParagraph"/>
        <w:spacing w:after="200"/>
        <w:ind w:left="360"/>
      </w:pPr>
    </w:p>
    <w:p w:rsidRPr="009A0E9E" w:rsidR="002B4019" w:rsidP="002B4019" w:rsidRDefault="002B4019" w14:paraId="2E5EB1F7" w14:textId="5F10BE0D">
      <w:pPr>
        <w:numPr>
          <w:ilvl w:val="0"/>
          <w:numId w:val="11"/>
        </w:numPr>
        <w:spacing w:after="200"/>
      </w:pPr>
      <w:r w:rsidRPr="009A0E9E">
        <w:t>Dyrektywa (UE) 2016/681 Parlamentu Europejskiego i Rady w sprawie wykorzystywania danych dotyczących przelotu pasażera (danych PNR) w celu zapobiegania przestępstwom terrorystycznym i poważnej przestępczości, ich wykrywania, prowadzenia postępowań przygotowawczych w ich sprawie i ich ścigania (dyrektywa o PNR), przyjęta w dniu 27 kwietnia 2016 r., stanowi ramy prawne przetwarzania danych PNR w UE. Państwa członkowskie zostały zobowiązane do wprowadzenia w życie przepisów ustawowych, wykonawczych i administracyjnych niezbędnych do wykonania niniejszej dyrektywy przed dniem 25 maja 2018 r. Komisja Europejska musi przeprowadzić pierwszy przegląd dyrektywy o PNR przed dniem 25 maja 2020 r.</w:t>
      </w:r>
    </w:p>
    <w:p w:rsidRPr="009A0E9E" w:rsidR="002B4019" w:rsidP="002B4019" w:rsidRDefault="002B4019" w14:paraId="3F092345" w14:textId="6A150440">
      <w:pPr>
        <w:numPr>
          <w:ilvl w:val="0"/>
          <w:numId w:val="11"/>
        </w:numPr>
        <w:spacing w:after="200"/>
      </w:pPr>
      <w:r w:rsidRPr="009A0E9E">
        <w:t>Obecnie UE jest związana z państwami trzecimi dwoma umowami międzynarodowymi dotyczącymi przetwarzania i przekazywania danych PNR – z Australią</w:t>
      </w:r>
      <w:r w:rsidRPr="009A0E9E">
        <w:rPr>
          <w:vertAlign w:val="superscript"/>
        </w:rPr>
        <w:endnoteReference w:id="1"/>
      </w:r>
      <w:r w:rsidRPr="009A0E9E">
        <w:t xml:space="preserve"> i ze Stanami Zjednoczonymi</w:t>
      </w:r>
      <w:r w:rsidRPr="009A0E9E">
        <w:rPr>
          <w:vertAlign w:val="superscript"/>
        </w:rPr>
        <w:endnoteReference w:id="2"/>
      </w:r>
      <w:r w:rsidRPr="009A0E9E">
        <w:t xml:space="preserve"> – obie od 2011 r. Na wniosek Parlamentu Europejskiego, zgodnie z art. 218 ust. 11 TFUE, Trybunał Sprawiedliwości UE (TSUE) przyjął opinię 1/15 z dnia 26 lipca 2017 r.</w:t>
      </w:r>
      <w:r w:rsidRPr="009A0E9E">
        <w:rPr>
          <w:vertAlign w:val="superscript"/>
        </w:rPr>
        <w:endnoteReference w:id="3"/>
      </w:r>
      <w:r w:rsidRPr="009A0E9E">
        <w:t xml:space="preserve"> w sprawie planowanej umowy między UE a Kanadą o przekazywaniu i przetwarzaniu danych PNR, podpisanej w dniu 25 czerwca 2014 r. Trybunał stwierdził, że umowa jest niezgodna z art. 7, 8 i 21 oraz z art. 52 ust. 1 Karty praw podstawowych UE (Karta), o ile nie uniemożliwia ona przekazywania danych wrażliwych z UE do Kanady, a także ich wykorzystywania i zatrzymywania. Ponadto Trybunał ustanowił szereg warunków i gwarancji dotyczących zgodnego z prawem przetwarzania i przekazywania danych PNR. Na podstawie opinii 1/15 w czerwcu 2018 r. rozpoczęto nowe negocjacje z Kanadą w sprawie danych PNR, które zdaniem Komisji znajdują się na końcowym etapie.</w:t>
      </w:r>
    </w:p>
    <w:p w:rsidRPr="009A0E9E" w:rsidR="002B4019" w:rsidP="002B4019" w:rsidRDefault="002B4019" w14:paraId="3BCB6E76" w14:textId="64566B27">
      <w:pPr>
        <w:numPr>
          <w:ilvl w:val="0"/>
          <w:numId w:val="11"/>
        </w:numPr>
        <w:spacing w:after="200"/>
      </w:pPr>
      <w:r w:rsidRPr="009A0E9E">
        <w:t xml:space="preserve">Na szczeblu światowym kwestię danych PNR rozstrzyga Konwencja o międzynarodowym lotnictwie cywilnym (konwencja chicagowska) z 1947 r., która reguluje międzynarodowy transport lotniczy i w ramach której ustanowiono Organizację Międzynarodowego Lotnictwa Cywilnego (ICAO). Rada ICAO przyjęła normy i zalecane metody postępowania w sprawie danych PNR, które stanowią część załącznika 9 („Ułatwienia”) do konwencji chicagowskiej. Uzupełniają je dodatkowe wytyczne, w szczególności dokument ICAO nr 9944 ustanawiający „Wytyczne w sprawie danych dotyczących </w:t>
      </w:r>
      <w:r w:rsidRPr="009A0E9E">
        <w:lastRenderedPageBreak/>
        <w:t>przelotu pasażera (danych PNR)”</w:t>
      </w:r>
      <w:r w:rsidRPr="009A0E9E">
        <w:rPr>
          <w:vertAlign w:val="superscript"/>
        </w:rPr>
        <w:endnoteReference w:id="4"/>
      </w:r>
      <w:r w:rsidRPr="009A0E9E">
        <w:t>. Wszystkie państwa członkowskie UE są stronami konwencji chicagowskiej.</w:t>
      </w:r>
    </w:p>
    <w:p w:rsidRPr="009A0E9E" w:rsidR="002B4019" w:rsidP="002B4019" w:rsidRDefault="002B4019" w14:paraId="2F2B7C49" w14:textId="6025F76D">
      <w:pPr>
        <w:numPr>
          <w:ilvl w:val="0"/>
          <w:numId w:val="11"/>
        </w:numPr>
        <w:spacing w:after="200"/>
      </w:pPr>
      <w:r w:rsidRPr="009A0E9E">
        <w:t xml:space="preserve">Ponadto rezolucja Rady Bezpieczeństwa Organizacji Narodów Zjednoczonych nr 2396 (2017) w sprawie zagrożeń dla pokoju i bezpieczeństwa międzynarodowego spowodowanych przez powroty zagranicznych bojowników terrorystycznych, przyjęta w dniu 21 grudnia 2017 r., wymaga, aby państwa członkowskie „rozwijały zdolności gromadzenia, przetwarzania i analizowania – na potrzeby norm i zalecanych metod postępowania ICAO – danych dotyczących przelotu pasażera (danych PNR), a także zapewniały, aby dane te były dostępne dla wszystkich właściwych organów krajowych i przez </w:t>
      </w:r>
      <w:proofErr w:type="gramStart"/>
      <w:r w:rsidRPr="009A0E9E">
        <w:t>nie wykorzystywane</w:t>
      </w:r>
      <w:proofErr w:type="gramEnd"/>
      <w:r w:rsidRPr="009A0E9E">
        <w:t>, przy pełnym poszanowaniu praw człowieka i podstawowych wolności”, a także „w stosownych przypadkach zachęca państwa członkowskie do udostępnienia danych PNR właściwym lub zainteresowanym państwom członkowskim w celu wykrycia zagranicznych bojowników terrorystycznych”</w:t>
      </w:r>
      <w:r w:rsidRPr="009A0E9E">
        <w:rPr>
          <w:vertAlign w:val="superscript"/>
        </w:rPr>
        <w:endnoteReference w:id="5"/>
      </w:r>
      <w:r w:rsidRPr="009A0E9E">
        <w:t>.</w:t>
      </w:r>
    </w:p>
    <w:p w:rsidRPr="009A0E9E" w:rsidR="00875FA8" w:rsidP="00A06782" w:rsidRDefault="00875FA8" w14:paraId="138A6904" w14:textId="59B17399">
      <w:pPr>
        <w:numPr>
          <w:ilvl w:val="0"/>
          <w:numId w:val="11"/>
        </w:numPr>
      </w:pPr>
      <w:r w:rsidRPr="009A0E9E">
        <w:t>EIOD z zadowoleniem przyjmuje fakt, że po przyjęciu zalecenia przez Komisję Europejską zasięgnięto jego opinii i oczekuje, że odniesienie do tej opinii zostanie uwzględnione w preambule do decyzji Rady. Niniejsza opinia nie powoduje uszczerbku dla wszelkich dodatkowych uwag, jakie EIOD może formułować na podstawie kolejnych dostępnych informacji na późniejszym etapie.</w:t>
      </w:r>
    </w:p>
    <w:p w:rsidRPr="009A0E9E" w:rsidR="00A06782" w:rsidP="00A06782" w:rsidRDefault="00A06782" w14:paraId="05B42449" w14:textId="652B1DE7">
      <w:pPr>
        <w:spacing w:after="200"/>
        <w:ind w:left="360"/>
      </w:pPr>
    </w:p>
    <w:p w:rsidRPr="009A0E9E" w:rsidR="00E515CF" w:rsidP="00E515CF" w:rsidRDefault="00E515CF" w14:paraId="6FD3076F" w14:textId="3C478248">
      <w:pPr>
        <w:pStyle w:val="Heading1"/>
        <w:keepLines/>
        <w:numPr>
          <w:ilvl w:val="0"/>
          <w:numId w:val="26"/>
        </w:numPr>
        <w:spacing w:after="200"/>
        <w:ind w:hanging="76"/>
        <w:jc w:val="both"/>
        <w:rPr>
          <w:sz w:val="32"/>
          <w:szCs w:val="32"/>
        </w:rPr>
      </w:pPr>
      <w:r w:rsidRPr="009A0E9E">
        <w:rPr>
          <w:sz w:val="32"/>
          <w:szCs w:val="32"/>
        </w:rPr>
        <w:t>WNIOSKI</w:t>
      </w:r>
    </w:p>
    <w:p w:rsidRPr="009A0E9E" w:rsidR="005F637D" w:rsidP="00993934" w:rsidRDefault="00E63C0D" w14:paraId="0082D7B4" w14:textId="5E735E7E">
      <w:pPr>
        <w:pStyle w:val="ListParagraph"/>
        <w:numPr>
          <w:ilvl w:val="0"/>
          <w:numId w:val="24"/>
        </w:numPr>
        <w:spacing w:after="120"/>
      </w:pPr>
      <w:r w:rsidRPr="009A0E9E">
        <w:t>EIOD z zadowoleniem przyjmuje fakt, że mandat negocjacyjny ma na celu zapewnienie pełnego poszanowania podstawowych praw i wolności zapisanych w art. 7 i art. 8 Karty, jak również zasad konieczności i proporcjonalności, zgodnie z wykładnią TSUE zawartą w opinii 1/15 dotyczącej umowy między UE a Kanadą w sprawie danych PNR.</w:t>
      </w:r>
    </w:p>
    <w:p w:rsidRPr="009A0E9E" w:rsidR="009E77F4" w:rsidP="005F637D" w:rsidRDefault="009E77F4" w14:paraId="3699D3B5" w14:textId="07AC94CB">
      <w:pPr>
        <w:pStyle w:val="ListParagraph"/>
        <w:spacing w:after="120"/>
        <w:ind w:left="360"/>
      </w:pPr>
    </w:p>
    <w:p w:rsidRPr="009A0E9E" w:rsidR="005F637D" w:rsidP="00993934" w:rsidRDefault="000E427E" w14:paraId="4138C65E" w14:textId="02D4EBEB">
      <w:pPr>
        <w:pStyle w:val="ListParagraph"/>
        <w:numPr>
          <w:ilvl w:val="0"/>
          <w:numId w:val="24"/>
        </w:numPr>
        <w:spacing w:after="120"/>
      </w:pPr>
      <w:r w:rsidRPr="009A0E9E">
        <w:t>Biorąc pod uwagę wpływ planowanej umowy na prawa podstawowe bardzo dużej liczby osób niezaangażowanych w działalność przestępczą EIOD uważa, że przyszła umowa powinna zawierać wszelkie niezbędne gwarancje materialne i proceduralne, które, gdy są uwzględniane w całości, zapewnią proporcjonalność systemu PNR oraz ograniczenie ingerencji w prawo do prywatności i ochrony danych tylko do tego, co jest absolutnie niezbędne i uzasadnione interesem ogólnym Unii.</w:t>
      </w:r>
    </w:p>
    <w:p w:rsidRPr="009A0E9E" w:rsidR="00EE75CB" w:rsidP="00EE75CB" w:rsidRDefault="00EE75CB" w14:paraId="4D3B5E2E" w14:textId="77777777">
      <w:pPr>
        <w:pStyle w:val="ListParagraph"/>
        <w:spacing w:after="120"/>
        <w:ind w:left="360"/>
      </w:pPr>
    </w:p>
    <w:p w:rsidRPr="009A0E9E" w:rsidR="001D74A9" w:rsidP="00993934" w:rsidRDefault="002647CC" w14:paraId="3A1EDF30" w14:textId="0F0AA6B5">
      <w:pPr>
        <w:pStyle w:val="ListParagraph"/>
        <w:numPr>
          <w:ilvl w:val="0"/>
          <w:numId w:val="24"/>
        </w:numPr>
        <w:spacing w:after="120"/>
      </w:pPr>
      <w:r w:rsidRPr="009A0E9E">
        <w:t>W tym celu, jako główne zalecenie, EIOD podkreśla potrzebę rygorystycznego podejścia odnośnie do konieczności i proporcjonalności systemu PNR. Ponadto należy zwrócić szczególną uwagę na praktyczne wdrażanie zasady celowości dotyczącej wykorzystywania przekazanych danych PNR. Ponadto EIOD zajmuje takie samo stanowisko, jakie zostało wyrażone w poprzednich opiniach</w:t>
      </w:r>
      <w:r w:rsidRPr="009A0E9E" w:rsidR="000C2F0E">
        <w:rPr>
          <w:rStyle w:val="EndnoteReference"/>
        </w:rPr>
        <w:endnoteReference w:id="6"/>
      </w:r>
      <w:r w:rsidRPr="009A0E9E">
        <w:t>, zgodnie z którym decyzja Rady upoważniająca do rozpoczęcia negocjacji, zgodnie z art. 218 TFUE, powinna zawierać odniesienie nie tylko do proceduralnej podstawy prawnej, lecz również do odpowiedniej materialnej podstawy prawnej, która powinna obejmować art. 16 TFUE.</w:t>
      </w:r>
    </w:p>
    <w:p w:rsidRPr="009A0E9E" w:rsidR="005F637D" w:rsidP="005F637D" w:rsidRDefault="005F637D" w14:paraId="4D650283" w14:textId="77777777">
      <w:pPr>
        <w:pStyle w:val="ListParagraph"/>
        <w:spacing w:after="120"/>
        <w:ind w:left="360"/>
      </w:pPr>
    </w:p>
    <w:p w:rsidRPr="009A0E9E" w:rsidR="00E63C0D" w:rsidP="00993934" w:rsidRDefault="00C94068" w14:paraId="371E3FC5" w14:textId="2869A23D">
      <w:pPr>
        <w:pStyle w:val="ListParagraph"/>
        <w:numPr>
          <w:ilvl w:val="0"/>
          <w:numId w:val="24"/>
        </w:numPr>
        <w:spacing w:after="120"/>
      </w:pPr>
      <w:r w:rsidRPr="009A0E9E">
        <w:t xml:space="preserve">Dodatkowe zalecenia EIOD zawarte w niniejszej opinii odnoszą się do odpowiednich ram prawnych przekazywania operacyjnych danych osobowych; potrzeby zapobiegania ryzyku pośredniego ujawnienia szczególnych kategorii danych dotyczących pasażerów lotniczych, a także ryzyku ponownej identyfikacji osób po </w:t>
      </w:r>
      <w:proofErr w:type="spellStart"/>
      <w:r w:rsidRPr="009A0E9E">
        <w:t>anonimizacji</w:t>
      </w:r>
      <w:proofErr w:type="spellEnd"/>
      <w:r w:rsidRPr="009A0E9E">
        <w:t xml:space="preserve"> danych PNR odnoszących się do nich. EIOD podkreśla również potrzebę wyjaśnienia przez właściwe organy Japonii </w:t>
      </w:r>
      <w:r w:rsidRPr="009A0E9E">
        <w:lastRenderedPageBreak/>
        <w:t>niezależnego nadzoru przetwarzania danych PNR, co stanowi jedną z podstawowych gwarancji prawa do ochrony danych. Ponadto EIOD zaleca wprowadzenie klauzul umożliwiających zawieszenie przyszłej umowy w przypadku naruszeń jej postawień, a także na wypowiedzenie tejże umowy, jeżeli jej nieprzestrzeganie ma poważny i trwały charakter.</w:t>
      </w:r>
    </w:p>
    <w:p w:rsidRPr="009A0E9E" w:rsidR="005F637D" w:rsidP="005F637D" w:rsidRDefault="005F637D" w14:paraId="1E813CCA" w14:textId="77777777">
      <w:pPr>
        <w:pStyle w:val="ListParagraph"/>
        <w:spacing w:after="120"/>
        <w:ind w:left="360"/>
      </w:pPr>
    </w:p>
    <w:p w:rsidRPr="009A0E9E" w:rsidR="00E63C0D" w:rsidP="00993934" w:rsidRDefault="00036309" w14:paraId="5F05CB27" w14:textId="4BEF0729">
      <w:pPr>
        <w:pStyle w:val="ListParagraph"/>
        <w:numPr>
          <w:ilvl w:val="0"/>
          <w:numId w:val="24"/>
        </w:numPr>
        <w:spacing w:after="120"/>
      </w:pPr>
      <w:r w:rsidRPr="009A0E9E">
        <w:t>EIOD pozostaje do dyspozycji Komisji, Rady i Parlamentu Europejskiego w celu zapewnienia doradztwa na późniejszych etapach procesu. Uwagi zawarte w niniejszej opinii nie powodują uszczerbku dla ewentualnych dodatkowych uwag, które EIOD może formułować w miarę powstawania kolejnych problemów, do których ustosunkuje się, gdy dostępne będą dalsze informacje. W tym celu EIOD oczekuje w późniejszym terminie konsultacji dotyczącej zapisów projektu umowy przed jej sfinalizowaniem.</w:t>
      </w:r>
    </w:p>
    <w:p w:rsidRPr="009A0E9E" w:rsidR="00F92ABA" w:rsidP="000752FA" w:rsidRDefault="00F92ABA" w14:paraId="7C4F72BA" w14:textId="77777777">
      <w:pPr>
        <w:spacing w:after="120"/>
      </w:pPr>
    </w:p>
    <w:p w:rsidRPr="009A0E9E" w:rsidR="00486C67" w:rsidP="000752FA" w:rsidRDefault="00486C67" w14:paraId="0EF1486D" w14:textId="40D74E7B">
      <w:pPr>
        <w:spacing w:after="120"/>
      </w:pPr>
      <w:r w:rsidRPr="009A0E9E">
        <w:t>Bruksela, 25 października 2019 r.</w:t>
      </w:r>
    </w:p>
    <w:p w:rsidRPr="009A0E9E" w:rsidR="00213E0C" w:rsidP="000752FA" w:rsidRDefault="00213E0C" w14:paraId="79AD5AB7" w14:textId="713345AF">
      <w:pPr>
        <w:spacing w:after="120"/>
      </w:pPr>
    </w:p>
    <w:p w:rsidRPr="009A0E9E" w:rsidR="00213E0C" w:rsidP="000752FA" w:rsidRDefault="00213E0C" w14:paraId="57054E86" w14:textId="24C312FF">
      <w:pPr>
        <w:spacing w:after="120"/>
      </w:pPr>
    </w:p>
    <w:p w:rsidRPr="009A0E9E" w:rsidR="00213E0C" w:rsidP="000752FA" w:rsidRDefault="00213E0C" w14:paraId="6ABC9993" w14:textId="4E695C25">
      <w:pPr>
        <w:spacing w:after="120"/>
      </w:pPr>
    </w:p>
    <w:p w:rsidRPr="009A0E9E" w:rsidR="00213E0C" w:rsidP="000752FA" w:rsidRDefault="00213E0C" w14:paraId="3B00E25D" w14:textId="77777777">
      <w:pPr>
        <w:spacing w:after="120"/>
      </w:pPr>
    </w:p>
    <w:bookmarkEnd w:id="0"/>
    <w:p w:rsidRPr="009A0E9E" w:rsidR="00F92ABA" w:rsidRDefault="00EA1EA1" w14:paraId="59744501" w14:textId="77777777">
      <w:pPr>
        <w:jc w:val="left"/>
        <w:rPr>
          <w:rFonts w:eastAsia="Adobe Gothic Std B"/>
          <w:b/>
          <w:bCs/>
          <w:color w:val="005DA4"/>
          <w:kern w:val="32"/>
          <w:sz w:val="32"/>
          <w:szCs w:val="32"/>
        </w:rPr>
      </w:pPr>
      <w:r w:rsidRPr="009A0E9E">
        <w:t xml:space="preserve">Wojciech Rafał WIEWIÓROWSKI </w:t>
      </w:r>
      <w:r w:rsidRPr="009A0E9E">
        <w:br w:type="page"/>
      </w:r>
    </w:p>
    <w:p w:rsidRPr="009A0E9E" w:rsidR="00F92ABA" w:rsidP="00F92ABA" w:rsidRDefault="00F92ABA" w14:paraId="5C88152C" w14:textId="77777777">
      <w:pPr>
        <w:pStyle w:val="Heading1"/>
        <w:numPr>
          <w:ilvl w:val="0"/>
          <w:numId w:val="0"/>
        </w:numPr>
        <w:rPr>
          <w:sz w:val="32"/>
          <w:szCs w:val="32"/>
        </w:rPr>
      </w:pPr>
      <w:bookmarkStart w:name="_Toc435701394" w:id="3"/>
      <w:bookmarkStart w:name="_Toc22124204" w:id="4"/>
      <w:r w:rsidRPr="009A0E9E">
        <w:rPr>
          <w:sz w:val="32"/>
          <w:szCs w:val="32"/>
        </w:rPr>
        <w:lastRenderedPageBreak/>
        <w:t>Przypisy</w:t>
      </w:r>
      <w:bookmarkEnd w:id="3"/>
      <w:bookmarkEnd w:id="4"/>
    </w:p>
    <w:sectPr w:rsidRPr="009A0E9E" w:rsidR="00F92ABA" w:rsidSect="00D065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40" w:right="1440" w:bottom="1560" w:left="1440" w:header="709" w:footer="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9AA1" w14:textId="77777777" w:rsidR="002400FA" w:rsidRDefault="002400FA" w:rsidP="00EE2109">
      <w:r>
        <w:separator/>
      </w:r>
    </w:p>
  </w:endnote>
  <w:endnote w:type="continuationSeparator" w:id="0">
    <w:p w14:paraId="31C8DFFB" w14:textId="77777777" w:rsidR="002400FA" w:rsidRDefault="002400FA" w:rsidP="00EE2109">
      <w:r>
        <w:continuationSeparator/>
      </w:r>
    </w:p>
  </w:endnote>
  <w:endnote w:id="1">
    <w:p w14:paraId="2023D359" w14:textId="77777777" w:rsidR="002B4019" w:rsidRPr="009A0E9E" w:rsidRDefault="002B4019" w:rsidP="00617099">
      <w:pPr>
        <w:pStyle w:val="Style1"/>
      </w:pPr>
      <w:r w:rsidRPr="009A0E9E">
        <w:rPr>
          <w:rStyle w:val="EndnoteReference"/>
        </w:rPr>
        <w:endnoteRef/>
      </w:r>
      <w:r w:rsidRPr="009A0E9E">
        <w:t xml:space="preserve"> Dz.U. L 186 z 14.7.2012, </w:t>
      </w:r>
      <w:proofErr w:type="gramStart"/>
      <w:r w:rsidRPr="009A0E9E">
        <w:t>s</w:t>
      </w:r>
      <w:proofErr w:type="gramEnd"/>
      <w:r w:rsidRPr="009A0E9E">
        <w:t>. 4-16.</w:t>
      </w:r>
    </w:p>
  </w:endnote>
  <w:endnote w:id="2">
    <w:p w14:paraId="196FCF4E" w14:textId="77777777" w:rsidR="002B4019" w:rsidRPr="009A0E9E" w:rsidRDefault="002B4019" w:rsidP="00617099">
      <w:pPr>
        <w:pStyle w:val="Style1"/>
      </w:pPr>
      <w:r w:rsidRPr="009A0E9E">
        <w:rPr>
          <w:rStyle w:val="EndnoteReference"/>
        </w:rPr>
        <w:endnoteRef/>
      </w:r>
      <w:r w:rsidRPr="009A0E9E">
        <w:t xml:space="preserve"> Dz.U. L 215 z 11.8.2012, </w:t>
      </w:r>
      <w:proofErr w:type="gramStart"/>
      <w:r w:rsidRPr="009A0E9E">
        <w:t>s</w:t>
      </w:r>
      <w:proofErr w:type="gramEnd"/>
      <w:r w:rsidRPr="009A0E9E">
        <w:t>. 5-14.</w:t>
      </w:r>
    </w:p>
  </w:endnote>
  <w:endnote w:id="3">
    <w:p w14:paraId="7170B23C" w14:textId="497E06AD" w:rsidR="002B4019" w:rsidRPr="009A0E9E" w:rsidRDefault="002B4019" w:rsidP="00617099">
      <w:pPr>
        <w:pStyle w:val="Style1"/>
      </w:pPr>
      <w:r w:rsidRPr="009A0E9E">
        <w:rPr>
          <w:rStyle w:val="EndnoteReference"/>
        </w:rPr>
        <w:endnoteRef/>
      </w:r>
      <w:r w:rsidRPr="009A0E9E">
        <w:t xml:space="preserve"> Opinia 1/15 Trybunału Sprawiedliwości z dnia 26 lipca 2017 r. zgodnie z art. 218 ust. 11 TFUE dotycząca projektu umowy między Kanadą a UE o przekazywaniu i przetwarzaniu danych PNR, ECLI</w:t>
      </w:r>
      <w:proofErr w:type="gramStart"/>
      <w:r w:rsidRPr="009A0E9E">
        <w:t>:EU</w:t>
      </w:r>
      <w:proofErr w:type="gramEnd"/>
      <w:r w:rsidRPr="009A0E9E">
        <w:t>:C:2017:592.</w:t>
      </w:r>
    </w:p>
  </w:endnote>
  <w:endnote w:id="4">
    <w:p w14:paraId="0B728BE8" w14:textId="77777777" w:rsidR="002B4019" w:rsidRPr="009A0E9E" w:rsidRDefault="002B4019" w:rsidP="00617099">
      <w:pPr>
        <w:pStyle w:val="Style1"/>
      </w:pPr>
      <w:r w:rsidRPr="009A0E9E">
        <w:rPr>
          <w:rStyle w:val="EndnoteReference"/>
        </w:rPr>
        <w:endnoteRef/>
      </w:r>
      <w:r w:rsidRPr="009A0E9E">
        <w:t xml:space="preserve"> ICAO, dokument nr 9944 „Wytyczne w sprawie danych dotyczących przelotu pasażera (danych PNR</w:t>
      </w:r>
      <w:proofErr w:type="gramStart"/>
      <w:r w:rsidRPr="009A0E9E">
        <w:t>)”, pierwsze</w:t>
      </w:r>
      <w:proofErr w:type="gramEnd"/>
      <w:r w:rsidRPr="009A0E9E">
        <w:t xml:space="preserve"> wydanie — 2010 r.</w:t>
      </w:r>
    </w:p>
  </w:endnote>
  <w:endnote w:id="5">
    <w:p w14:paraId="446DEA2B" w14:textId="77777777" w:rsidR="002B4019" w:rsidRPr="009A0E9E" w:rsidRDefault="002B4019" w:rsidP="00617099">
      <w:pPr>
        <w:pStyle w:val="Style1"/>
      </w:pPr>
      <w:r w:rsidRPr="009A0E9E">
        <w:rPr>
          <w:rStyle w:val="EndnoteReference"/>
        </w:rPr>
        <w:endnoteRef/>
      </w:r>
      <w:r w:rsidRPr="009A0E9E">
        <w:t xml:space="preserve"> Rezolucja Rady Bezpieczeństwa ONZ nr 2396 (2017) w sprawie zagrożeń dla pokoju i bezpieczeństwa międzynarodowego spowodowanych przez powroty zagranicznych bojowników terrorystycznych, przyjęta przez Radę Bezpieczeństwa na 8148. </w:t>
      </w:r>
      <w:proofErr w:type="gramStart"/>
      <w:r w:rsidRPr="009A0E9E">
        <w:t>posiedzeniu</w:t>
      </w:r>
      <w:proofErr w:type="gramEnd"/>
      <w:r w:rsidRPr="009A0E9E">
        <w:t>, w dniu 21 grudnia 2017 r., punkt 12.</w:t>
      </w:r>
    </w:p>
  </w:endnote>
  <w:endnote w:id="6">
    <w:p w14:paraId="34AF0F9E" w14:textId="2CABBBAA" w:rsidR="000C2F0E" w:rsidRPr="009A0E9E" w:rsidRDefault="000C2F0E" w:rsidP="00617099">
      <w:pPr>
        <w:pStyle w:val="Style1"/>
      </w:pPr>
      <w:r w:rsidRPr="009A0E9E">
        <w:rPr>
          <w:rStyle w:val="EndnoteReference"/>
        </w:rPr>
        <w:endnoteRef/>
      </w:r>
      <w:r w:rsidRPr="009A0E9E">
        <w:t xml:space="preserve"> Zob. opinia EIOD 2/2019 w sprawie mandatu negocjacyjnego na potrzeby zawieranej między Unią Europejską a Stanami Zjednoczonymi umowy w sprawie transgranicznego dostępu do elektronicznego materiału dowodowego oraz opinia EIOD 3/2019 dotycząca uczestnictwa w negocjacjach dotyczących drugiego protokołu dodatkowego do budapesztańskiej konwencji o cyberprzestępczości, dostępne pod adresem: </w:t>
      </w:r>
      <w:hyperlink r:id="rId1" w:history="1">
        <w:r w:rsidRPr="009A0E9E">
          <w:rPr>
            <w:rStyle w:val="Hyperlink"/>
          </w:rPr>
          <w:t>https://edps.europa.eu/sites/edp/files/publication/19-04-02_edps_opinion_on_eu_us_agreement_on_e-evidence_en.pdf</w:t>
        </w:r>
      </w:hyperlink>
      <w:r w:rsidRPr="009A0E9E">
        <w:t xml:space="preserve"> oraz</w:t>
      </w:r>
    </w:p>
    <w:p w14:paraId="3AF6EE40" w14:textId="6C21E2F5" w:rsidR="000C2F0E" w:rsidRPr="009A0E9E" w:rsidRDefault="002400FA" w:rsidP="009600CE">
      <w:pPr>
        <w:pStyle w:val="EndnoteText"/>
        <w:jc w:val="both"/>
        <w:rPr>
          <w:rFonts w:ascii="Times New Roman" w:hAnsi="Times New Roman"/>
        </w:rPr>
      </w:pPr>
      <w:hyperlink r:id="rId2" w:history="1">
        <w:r w:rsidR="00B11FC2" w:rsidRPr="009A0E9E">
          <w:rPr>
            <w:rStyle w:val="Hyperlink"/>
            <w:rFonts w:ascii="Times New Roman" w:hAnsi="Times New Roman"/>
          </w:rPr>
          <w:t>https://edps.europa.eu/sites/edp/files/publication/19-04-02_edps_opini</w:t>
        </w:r>
        <w:bookmarkStart w:id="2" w:name="_GoBack"/>
        <w:bookmarkEnd w:id="2"/>
        <w:r w:rsidR="00B11FC2" w:rsidRPr="009A0E9E">
          <w:rPr>
            <w:rStyle w:val="Hyperlink"/>
            <w:rFonts w:ascii="Times New Roman" w:hAnsi="Times New Roman"/>
          </w:rPr>
          <w:t>on_budapest_convention_en.pdf</w:t>
        </w:r>
      </w:hyperlink>
      <w:r w:rsidR="00B11FC2" w:rsidRPr="009A0E9E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0E9E" w:rsidR="009A0E9E" w:rsidRDefault="009A0E9E" w14:paraId="0A9FAE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0E9E" w:rsidR="00621B53" w:rsidP="00D065E1" w:rsidRDefault="00621B53" w14:paraId="703AAF17" w14:textId="2137951D">
    <w:pPr>
      <w:pStyle w:val="Footer"/>
      <w:pBdr>
        <w:top w:val="single" w:color="D9D9D9" w:themeColor="background1" w:themeShade="D9" w:sz="4" w:space="1"/>
      </w:pBdr>
      <w:jc w:val="right"/>
      <w:rPr>
        <w:color w:val="808080" w:themeColor="background1" w:themeShade="80"/>
        <w:spacing w:val="60"/>
      </w:rPr>
    </w:pPr>
  </w:p>
  <w:p w:rsidRPr="009A0E9E" w:rsidR="00621B53" w:rsidRDefault="00621B53" w14:paraId="165BF6E0" w14:textId="77777777">
    <w:pPr>
      <w:pStyle w:val="Footer"/>
    </w:pPr>
  </w:p>
  <w:p w:rsidRPr="009A0E9E" w:rsidR="00621B53" w:rsidRDefault="00621B53" w14:paraId="611AAA0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0E9E" w:rsidR="00621B53" w:rsidP="00076A31" w:rsidRDefault="00621B53" w14:paraId="5B07118A" w14:textId="0951BA98">
    <w:pPr>
      <w:pStyle w:val="Footer"/>
      <w:pBdr>
        <w:top w:val="single" w:color="D9D9D9" w:themeColor="background1" w:themeShade="D9" w:sz="4" w:space="1"/>
      </w:pBdr>
      <w:jc w:val="right"/>
    </w:pPr>
  </w:p>
  <w:p w:rsidRPr="009A0E9E" w:rsidR="00621B53" w:rsidRDefault="00621B53" w14:paraId="3938CD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0AF4" w14:textId="77777777" w:rsidR="002400FA" w:rsidRDefault="002400FA" w:rsidP="00EE2109">
      <w:r>
        <w:separator/>
      </w:r>
    </w:p>
  </w:footnote>
  <w:footnote w:type="continuationSeparator" w:id="0">
    <w:p w14:paraId="67CEB437" w14:textId="77777777" w:rsidR="002400FA" w:rsidRDefault="002400FA" w:rsidP="00EE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0E9E" w:rsidR="009A0E9E" w:rsidRDefault="009A0E9E" w14:paraId="05EEF1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0E9E" w:rsidR="009A0E9E" w:rsidRDefault="009A0E9E" w14:paraId="3402333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A0E9E" w:rsidR="009A0E9E" w:rsidRDefault="009A0E9E" w14:paraId="6A765E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23"/>
    <w:multiLevelType w:val="hybridMultilevel"/>
    <w:tmpl w:val="6922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78C"/>
    <w:multiLevelType w:val="hybridMultilevel"/>
    <w:tmpl w:val="5F1AC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DC6"/>
    <w:multiLevelType w:val="hybridMultilevel"/>
    <w:tmpl w:val="D3143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BA7"/>
    <w:multiLevelType w:val="hybridMultilevel"/>
    <w:tmpl w:val="0D9C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E86"/>
    <w:multiLevelType w:val="hybridMultilevel"/>
    <w:tmpl w:val="7730076E"/>
    <w:lvl w:ilvl="0" w:tplc="69901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D475B"/>
    <w:multiLevelType w:val="multilevel"/>
    <w:tmpl w:val="77E2855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275B65"/>
    <w:multiLevelType w:val="hybridMultilevel"/>
    <w:tmpl w:val="DCF0A260"/>
    <w:lvl w:ilvl="0" w:tplc="D4C0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0C23"/>
    <w:multiLevelType w:val="hybridMultilevel"/>
    <w:tmpl w:val="9FB09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41A1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3F116B"/>
    <w:multiLevelType w:val="hybridMultilevel"/>
    <w:tmpl w:val="3118F048"/>
    <w:lvl w:ilvl="0" w:tplc="04DA5B0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120D3"/>
    <w:multiLevelType w:val="hybridMultilevel"/>
    <w:tmpl w:val="FA121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8A5"/>
    <w:multiLevelType w:val="hybridMultilevel"/>
    <w:tmpl w:val="592C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31C58"/>
    <w:multiLevelType w:val="hybridMultilevel"/>
    <w:tmpl w:val="386A81F8"/>
    <w:lvl w:ilvl="0" w:tplc="3F842DE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3CD6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01F24"/>
    <w:multiLevelType w:val="multilevel"/>
    <w:tmpl w:val="E58E1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02CE"/>
    <w:multiLevelType w:val="multilevel"/>
    <w:tmpl w:val="6B923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E3765"/>
    <w:multiLevelType w:val="hybridMultilevel"/>
    <w:tmpl w:val="B974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4EB4"/>
    <w:multiLevelType w:val="hybridMultilevel"/>
    <w:tmpl w:val="4E78AF06"/>
    <w:lvl w:ilvl="0" w:tplc="E5BE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lang w:val="en-GB"/>
      </w:rPr>
    </w:lvl>
    <w:lvl w:ilvl="1" w:tplc="080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i w:val="0"/>
        <w:vertAlign w:val="baseline"/>
      </w:rPr>
    </w:lvl>
    <w:lvl w:ilvl="2" w:tplc="67743F40">
      <w:start w:val="1"/>
      <w:numFmt w:val="lowerLetter"/>
      <w:lvlText w:val="(%3)"/>
      <w:lvlJc w:val="left"/>
      <w:pPr>
        <w:ind w:left="2318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b w:val="0"/>
        <w:i w:val="0"/>
        <w:vertAlign w:val="baseli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8" w15:restartNumberingAfterBreak="0">
    <w:nsid w:val="5A7A33BB"/>
    <w:multiLevelType w:val="hybridMultilevel"/>
    <w:tmpl w:val="8E40BBA8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655D5A3A"/>
    <w:multiLevelType w:val="hybridMultilevel"/>
    <w:tmpl w:val="569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23DF"/>
    <w:multiLevelType w:val="hybridMultilevel"/>
    <w:tmpl w:val="B53C6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E10"/>
    <w:multiLevelType w:val="hybridMultilevel"/>
    <w:tmpl w:val="870AED6E"/>
    <w:lvl w:ilvl="0" w:tplc="58228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7784"/>
    <w:multiLevelType w:val="multilevel"/>
    <w:tmpl w:val="373A06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074AA4"/>
    <w:multiLevelType w:val="hybridMultilevel"/>
    <w:tmpl w:val="6A327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3848"/>
    <w:multiLevelType w:val="hybridMultilevel"/>
    <w:tmpl w:val="A1826D14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1"/>
  </w:num>
  <w:num w:numId="5">
    <w:abstractNumId w:val="14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18"/>
  </w:num>
  <w:num w:numId="13">
    <w:abstractNumId w:val="24"/>
  </w:num>
  <w:num w:numId="14">
    <w:abstractNumId w:val="10"/>
  </w:num>
  <w:num w:numId="15">
    <w:abstractNumId w:val="7"/>
  </w:num>
  <w:num w:numId="16">
    <w:abstractNumId w:val="23"/>
  </w:num>
  <w:num w:numId="17">
    <w:abstractNumId w:val="20"/>
  </w:num>
  <w:num w:numId="18">
    <w:abstractNumId w:val="2"/>
  </w:num>
  <w:num w:numId="19">
    <w:abstractNumId w:val="11"/>
  </w:num>
  <w:num w:numId="20">
    <w:abstractNumId w:val="1"/>
  </w:num>
  <w:num w:numId="21">
    <w:abstractNumId w:val="0"/>
  </w:num>
  <w:num w:numId="22">
    <w:abstractNumId w:val="9"/>
  </w:num>
  <w:num w:numId="23">
    <w:abstractNumId w:val="5"/>
  </w:num>
  <w:num w:numId="24">
    <w:abstractNumId w:val="12"/>
  </w:num>
  <w:num w:numId="25">
    <w:abstractNumId w:val="13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09"/>
    <w:rsid w:val="00001F64"/>
    <w:rsid w:val="00006D28"/>
    <w:rsid w:val="00007024"/>
    <w:rsid w:val="00011CD6"/>
    <w:rsid w:val="00014506"/>
    <w:rsid w:val="000154A5"/>
    <w:rsid w:val="00016ACA"/>
    <w:rsid w:val="00017B0C"/>
    <w:rsid w:val="000229E9"/>
    <w:rsid w:val="00032414"/>
    <w:rsid w:val="00033562"/>
    <w:rsid w:val="00034993"/>
    <w:rsid w:val="0003564C"/>
    <w:rsid w:val="00036309"/>
    <w:rsid w:val="00036BB1"/>
    <w:rsid w:val="00040497"/>
    <w:rsid w:val="00040910"/>
    <w:rsid w:val="00041759"/>
    <w:rsid w:val="000505CB"/>
    <w:rsid w:val="000511C3"/>
    <w:rsid w:val="00051C38"/>
    <w:rsid w:val="000529F8"/>
    <w:rsid w:val="00057664"/>
    <w:rsid w:val="00063045"/>
    <w:rsid w:val="00065A7A"/>
    <w:rsid w:val="00067D0E"/>
    <w:rsid w:val="00074161"/>
    <w:rsid w:val="000752FA"/>
    <w:rsid w:val="000760C6"/>
    <w:rsid w:val="00076A31"/>
    <w:rsid w:val="000805A4"/>
    <w:rsid w:val="000806DF"/>
    <w:rsid w:val="000957ED"/>
    <w:rsid w:val="000966DD"/>
    <w:rsid w:val="000A165C"/>
    <w:rsid w:val="000A1C01"/>
    <w:rsid w:val="000A5BC9"/>
    <w:rsid w:val="000A5E02"/>
    <w:rsid w:val="000A6610"/>
    <w:rsid w:val="000B01C4"/>
    <w:rsid w:val="000B02B4"/>
    <w:rsid w:val="000B23D3"/>
    <w:rsid w:val="000B32B8"/>
    <w:rsid w:val="000B7EC8"/>
    <w:rsid w:val="000C0FCA"/>
    <w:rsid w:val="000C2F0E"/>
    <w:rsid w:val="000C6282"/>
    <w:rsid w:val="000D0219"/>
    <w:rsid w:val="000D22B6"/>
    <w:rsid w:val="000E23D7"/>
    <w:rsid w:val="000E3CED"/>
    <w:rsid w:val="000E427E"/>
    <w:rsid w:val="000E48E9"/>
    <w:rsid w:val="000F00CE"/>
    <w:rsid w:val="000F1F34"/>
    <w:rsid w:val="000F2C34"/>
    <w:rsid w:val="000F33CF"/>
    <w:rsid w:val="000F4438"/>
    <w:rsid w:val="000F548B"/>
    <w:rsid w:val="000F70EB"/>
    <w:rsid w:val="00100578"/>
    <w:rsid w:val="001024A2"/>
    <w:rsid w:val="0010469A"/>
    <w:rsid w:val="00105B54"/>
    <w:rsid w:val="00106ED4"/>
    <w:rsid w:val="001073ED"/>
    <w:rsid w:val="0010766F"/>
    <w:rsid w:val="00107A0A"/>
    <w:rsid w:val="00111EE6"/>
    <w:rsid w:val="00121625"/>
    <w:rsid w:val="001223EB"/>
    <w:rsid w:val="00126176"/>
    <w:rsid w:val="0012671F"/>
    <w:rsid w:val="00131601"/>
    <w:rsid w:val="001328D0"/>
    <w:rsid w:val="001354BE"/>
    <w:rsid w:val="00136B7F"/>
    <w:rsid w:val="0014071B"/>
    <w:rsid w:val="0014656A"/>
    <w:rsid w:val="00146F3B"/>
    <w:rsid w:val="00152B43"/>
    <w:rsid w:val="00152D82"/>
    <w:rsid w:val="00153840"/>
    <w:rsid w:val="00154AC6"/>
    <w:rsid w:val="00163AB9"/>
    <w:rsid w:val="00164E5D"/>
    <w:rsid w:val="001677B4"/>
    <w:rsid w:val="001733C8"/>
    <w:rsid w:val="00173BCD"/>
    <w:rsid w:val="00181448"/>
    <w:rsid w:val="00182BB6"/>
    <w:rsid w:val="001834C6"/>
    <w:rsid w:val="0018626A"/>
    <w:rsid w:val="00186C7E"/>
    <w:rsid w:val="001876A0"/>
    <w:rsid w:val="00194EAB"/>
    <w:rsid w:val="001A0AA3"/>
    <w:rsid w:val="001A3CEF"/>
    <w:rsid w:val="001A73A3"/>
    <w:rsid w:val="001B364E"/>
    <w:rsid w:val="001B5F6B"/>
    <w:rsid w:val="001B5FE0"/>
    <w:rsid w:val="001C0ABC"/>
    <w:rsid w:val="001C393D"/>
    <w:rsid w:val="001C3C58"/>
    <w:rsid w:val="001C770A"/>
    <w:rsid w:val="001D1E3B"/>
    <w:rsid w:val="001D419A"/>
    <w:rsid w:val="001D4BE8"/>
    <w:rsid w:val="001D74A9"/>
    <w:rsid w:val="001D7BD9"/>
    <w:rsid w:val="001E0B04"/>
    <w:rsid w:val="001E2BAD"/>
    <w:rsid w:val="001E4ABE"/>
    <w:rsid w:val="001E6C10"/>
    <w:rsid w:val="001E7C91"/>
    <w:rsid w:val="001F0032"/>
    <w:rsid w:val="001F059A"/>
    <w:rsid w:val="001F110A"/>
    <w:rsid w:val="001F4614"/>
    <w:rsid w:val="001F5488"/>
    <w:rsid w:val="001F61D5"/>
    <w:rsid w:val="001F74BE"/>
    <w:rsid w:val="001F77A1"/>
    <w:rsid w:val="0021216C"/>
    <w:rsid w:val="00213865"/>
    <w:rsid w:val="00213E0C"/>
    <w:rsid w:val="002164BD"/>
    <w:rsid w:val="00232292"/>
    <w:rsid w:val="00236231"/>
    <w:rsid w:val="00237D55"/>
    <w:rsid w:val="002400FA"/>
    <w:rsid w:val="00240EE0"/>
    <w:rsid w:val="002421B8"/>
    <w:rsid w:val="00247527"/>
    <w:rsid w:val="00251CAB"/>
    <w:rsid w:val="00252C97"/>
    <w:rsid w:val="002569F6"/>
    <w:rsid w:val="00256DE1"/>
    <w:rsid w:val="002606BE"/>
    <w:rsid w:val="00261A8F"/>
    <w:rsid w:val="0026468E"/>
    <w:rsid w:val="002647CC"/>
    <w:rsid w:val="00270F50"/>
    <w:rsid w:val="002737B5"/>
    <w:rsid w:val="0027595C"/>
    <w:rsid w:val="002810DD"/>
    <w:rsid w:val="00281C4C"/>
    <w:rsid w:val="0028321A"/>
    <w:rsid w:val="00284E13"/>
    <w:rsid w:val="00285A96"/>
    <w:rsid w:val="002A7A52"/>
    <w:rsid w:val="002B0ED1"/>
    <w:rsid w:val="002B221E"/>
    <w:rsid w:val="002B2257"/>
    <w:rsid w:val="002B3379"/>
    <w:rsid w:val="002B4019"/>
    <w:rsid w:val="002B40DA"/>
    <w:rsid w:val="002C2A74"/>
    <w:rsid w:val="002D33E6"/>
    <w:rsid w:val="002D4295"/>
    <w:rsid w:val="002E69B2"/>
    <w:rsid w:val="002F40D6"/>
    <w:rsid w:val="002F4E34"/>
    <w:rsid w:val="00300BDF"/>
    <w:rsid w:val="00303072"/>
    <w:rsid w:val="003030A8"/>
    <w:rsid w:val="00306297"/>
    <w:rsid w:val="0030787A"/>
    <w:rsid w:val="00312B76"/>
    <w:rsid w:val="003142BB"/>
    <w:rsid w:val="00314EED"/>
    <w:rsid w:val="003150B1"/>
    <w:rsid w:val="003257A1"/>
    <w:rsid w:val="00331A79"/>
    <w:rsid w:val="00332C7F"/>
    <w:rsid w:val="003335B0"/>
    <w:rsid w:val="00342B32"/>
    <w:rsid w:val="00343B76"/>
    <w:rsid w:val="0035019C"/>
    <w:rsid w:val="0035115D"/>
    <w:rsid w:val="00351B87"/>
    <w:rsid w:val="003661D2"/>
    <w:rsid w:val="00367F83"/>
    <w:rsid w:val="003711E5"/>
    <w:rsid w:val="0038457D"/>
    <w:rsid w:val="00386B21"/>
    <w:rsid w:val="003901D2"/>
    <w:rsid w:val="003920FA"/>
    <w:rsid w:val="0039252B"/>
    <w:rsid w:val="0039712A"/>
    <w:rsid w:val="00397D2C"/>
    <w:rsid w:val="003A2895"/>
    <w:rsid w:val="003A2BB9"/>
    <w:rsid w:val="003A7EB0"/>
    <w:rsid w:val="003B3524"/>
    <w:rsid w:val="003B3F22"/>
    <w:rsid w:val="003B66D9"/>
    <w:rsid w:val="003B6E66"/>
    <w:rsid w:val="003B7A97"/>
    <w:rsid w:val="003C0656"/>
    <w:rsid w:val="003C0731"/>
    <w:rsid w:val="003C1BE3"/>
    <w:rsid w:val="003C35D5"/>
    <w:rsid w:val="003C42E0"/>
    <w:rsid w:val="003C4596"/>
    <w:rsid w:val="003C4970"/>
    <w:rsid w:val="003C7335"/>
    <w:rsid w:val="003D15C6"/>
    <w:rsid w:val="003D347C"/>
    <w:rsid w:val="003D4107"/>
    <w:rsid w:val="003D5187"/>
    <w:rsid w:val="003E068E"/>
    <w:rsid w:val="003F2070"/>
    <w:rsid w:val="003F5FA4"/>
    <w:rsid w:val="00402059"/>
    <w:rsid w:val="004021BC"/>
    <w:rsid w:val="00402B9B"/>
    <w:rsid w:val="00410938"/>
    <w:rsid w:val="00414981"/>
    <w:rsid w:val="00415899"/>
    <w:rsid w:val="00417A3B"/>
    <w:rsid w:val="00420708"/>
    <w:rsid w:val="00421439"/>
    <w:rsid w:val="004214DA"/>
    <w:rsid w:val="00426524"/>
    <w:rsid w:val="00433F9B"/>
    <w:rsid w:val="00443651"/>
    <w:rsid w:val="0044551F"/>
    <w:rsid w:val="00446002"/>
    <w:rsid w:val="00451CDE"/>
    <w:rsid w:val="004529D5"/>
    <w:rsid w:val="00456876"/>
    <w:rsid w:val="0046171E"/>
    <w:rsid w:val="004632FE"/>
    <w:rsid w:val="00470059"/>
    <w:rsid w:val="00470946"/>
    <w:rsid w:val="004727D2"/>
    <w:rsid w:val="00473A52"/>
    <w:rsid w:val="00473E28"/>
    <w:rsid w:val="004742DB"/>
    <w:rsid w:val="00483118"/>
    <w:rsid w:val="00486545"/>
    <w:rsid w:val="00486C67"/>
    <w:rsid w:val="00491D61"/>
    <w:rsid w:val="00491ECE"/>
    <w:rsid w:val="004936DE"/>
    <w:rsid w:val="004947E1"/>
    <w:rsid w:val="00494B4A"/>
    <w:rsid w:val="00495FFC"/>
    <w:rsid w:val="004A4129"/>
    <w:rsid w:val="004B2750"/>
    <w:rsid w:val="004B4F3D"/>
    <w:rsid w:val="004B6B12"/>
    <w:rsid w:val="004C0607"/>
    <w:rsid w:val="004C1A8D"/>
    <w:rsid w:val="004C2089"/>
    <w:rsid w:val="004C29E4"/>
    <w:rsid w:val="004C7EBE"/>
    <w:rsid w:val="004D0167"/>
    <w:rsid w:val="004D2021"/>
    <w:rsid w:val="004D4A20"/>
    <w:rsid w:val="004E19BF"/>
    <w:rsid w:val="004F1916"/>
    <w:rsid w:val="004F1DCB"/>
    <w:rsid w:val="004F1F68"/>
    <w:rsid w:val="004F25FC"/>
    <w:rsid w:val="004F3850"/>
    <w:rsid w:val="004F38B9"/>
    <w:rsid w:val="004F39CC"/>
    <w:rsid w:val="004F4409"/>
    <w:rsid w:val="004F65A4"/>
    <w:rsid w:val="004F6920"/>
    <w:rsid w:val="00501BF1"/>
    <w:rsid w:val="005035D0"/>
    <w:rsid w:val="00503F3B"/>
    <w:rsid w:val="005053C8"/>
    <w:rsid w:val="00505AA4"/>
    <w:rsid w:val="00506106"/>
    <w:rsid w:val="00511F4F"/>
    <w:rsid w:val="0051238B"/>
    <w:rsid w:val="005147A1"/>
    <w:rsid w:val="0052195B"/>
    <w:rsid w:val="00521AFE"/>
    <w:rsid w:val="0052422B"/>
    <w:rsid w:val="00524AF0"/>
    <w:rsid w:val="005259B6"/>
    <w:rsid w:val="005261B3"/>
    <w:rsid w:val="005306E1"/>
    <w:rsid w:val="00540195"/>
    <w:rsid w:val="005443D6"/>
    <w:rsid w:val="00544C56"/>
    <w:rsid w:val="00547461"/>
    <w:rsid w:val="00547E04"/>
    <w:rsid w:val="00555746"/>
    <w:rsid w:val="005612BE"/>
    <w:rsid w:val="00562F3E"/>
    <w:rsid w:val="00567A57"/>
    <w:rsid w:val="00571068"/>
    <w:rsid w:val="005722ED"/>
    <w:rsid w:val="00572785"/>
    <w:rsid w:val="005759BF"/>
    <w:rsid w:val="00580A2E"/>
    <w:rsid w:val="005850A4"/>
    <w:rsid w:val="00586208"/>
    <w:rsid w:val="005864CD"/>
    <w:rsid w:val="00590C34"/>
    <w:rsid w:val="0059330F"/>
    <w:rsid w:val="00593D21"/>
    <w:rsid w:val="00593E8D"/>
    <w:rsid w:val="005947D2"/>
    <w:rsid w:val="00595DA7"/>
    <w:rsid w:val="005A51D4"/>
    <w:rsid w:val="005A7CA9"/>
    <w:rsid w:val="005B26A2"/>
    <w:rsid w:val="005B36C4"/>
    <w:rsid w:val="005B3D89"/>
    <w:rsid w:val="005B4B62"/>
    <w:rsid w:val="005B6491"/>
    <w:rsid w:val="005B7E87"/>
    <w:rsid w:val="005C422E"/>
    <w:rsid w:val="005D3A0E"/>
    <w:rsid w:val="005D45BC"/>
    <w:rsid w:val="005E39C6"/>
    <w:rsid w:val="005E3FDC"/>
    <w:rsid w:val="005E54A4"/>
    <w:rsid w:val="005E5F56"/>
    <w:rsid w:val="005F05E7"/>
    <w:rsid w:val="005F637D"/>
    <w:rsid w:val="00600E2E"/>
    <w:rsid w:val="006019FB"/>
    <w:rsid w:val="006031EC"/>
    <w:rsid w:val="00606623"/>
    <w:rsid w:val="00612229"/>
    <w:rsid w:val="006130E4"/>
    <w:rsid w:val="00617099"/>
    <w:rsid w:val="00621B53"/>
    <w:rsid w:val="00622611"/>
    <w:rsid w:val="00624704"/>
    <w:rsid w:val="006252F5"/>
    <w:rsid w:val="0063369E"/>
    <w:rsid w:val="00637697"/>
    <w:rsid w:val="006405EF"/>
    <w:rsid w:val="0064285B"/>
    <w:rsid w:val="00644C8C"/>
    <w:rsid w:val="006478F4"/>
    <w:rsid w:val="00650DB1"/>
    <w:rsid w:val="006541B0"/>
    <w:rsid w:val="00655FB4"/>
    <w:rsid w:val="006578F4"/>
    <w:rsid w:val="006630C6"/>
    <w:rsid w:val="00667D2B"/>
    <w:rsid w:val="0067008E"/>
    <w:rsid w:val="006705A2"/>
    <w:rsid w:val="00671181"/>
    <w:rsid w:val="0067375B"/>
    <w:rsid w:val="00673C00"/>
    <w:rsid w:val="0067579E"/>
    <w:rsid w:val="00676D92"/>
    <w:rsid w:val="00683165"/>
    <w:rsid w:val="00696030"/>
    <w:rsid w:val="006A20B1"/>
    <w:rsid w:val="006A5785"/>
    <w:rsid w:val="006A7D96"/>
    <w:rsid w:val="006B6B5D"/>
    <w:rsid w:val="006C45DB"/>
    <w:rsid w:val="006D1D22"/>
    <w:rsid w:val="006D1DB4"/>
    <w:rsid w:val="006D281A"/>
    <w:rsid w:val="006E1287"/>
    <w:rsid w:val="006F5510"/>
    <w:rsid w:val="006F591F"/>
    <w:rsid w:val="0070059F"/>
    <w:rsid w:val="00713A4E"/>
    <w:rsid w:val="00714F61"/>
    <w:rsid w:val="0071743D"/>
    <w:rsid w:val="007216B9"/>
    <w:rsid w:val="00722E03"/>
    <w:rsid w:val="00723810"/>
    <w:rsid w:val="00730CA6"/>
    <w:rsid w:val="00732059"/>
    <w:rsid w:val="00732C03"/>
    <w:rsid w:val="007350BE"/>
    <w:rsid w:val="007352FC"/>
    <w:rsid w:val="007353E7"/>
    <w:rsid w:val="0074083E"/>
    <w:rsid w:val="00740C6E"/>
    <w:rsid w:val="00743463"/>
    <w:rsid w:val="00747784"/>
    <w:rsid w:val="007503E3"/>
    <w:rsid w:val="00750DE9"/>
    <w:rsid w:val="00755430"/>
    <w:rsid w:val="00762CBC"/>
    <w:rsid w:val="00766663"/>
    <w:rsid w:val="00771EFC"/>
    <w:rsid w:val="00774120"/>
    <w:rsid w:val="00776054"/>
    <w:rsid w:val="0078222A"/>
    <w:rsid w:val="00787776"/>
    <w:rsid w:val="007906A4"/>
    <w:rsid w:val="007956DA"/>
    <w:rsid w:val="00795CBD"/>
    <w:rsid w:val="007A212E"/>
    <w:rsid w:val="007A684B"/>
    <w:rsid w:val="007B1880"/>
    <w:rsid w:val="007B1A02"/>
    <w:rsid w:val="007B6B42"/>
    <w:rsid w:val="007B795B"/>
    <w:rsid w:val="007C14A0"/>
    <w:rsid w:val="007C204E"/>
    <w:rsid w:val="007C2E57"/>
    <w:rsid w:val="007C45FE"/>
    <w:rsid w:val="007D02F8"/>
    <w:rsid w:val="007D0E0F"/>
    <w:rsid w:val="007D5E73"/>
    <w:rsid w:val="007D7060"/>
    <w:rsid w:val="007E30F8"/>
    <w:rsid w:val="007E39B3"/>
    <w:rsid w:val="007F078C"/>
    <w:rsid w:val="007F3AFE"/>
    <w:rsid w:val="007F4815"/>
    <w:rsid w:val="007F5893"/>
    <w:rsid w:val="007F77AF"/>
    <w:rsid w:val="0080089F"/>
    <w:rsid w:val="00806409"/>
    <w:rsid w:val="00807D35"/>
    <w:rsid w:val="00813800"/>
    <w:rsid w:val="008161E2"/>
    <w:rsid w:val="0082019A"/>
    <w:rsid w:val="00823236"/>
    <w:rsid w:val="008360B8"/>
    <w:rsid w:val="0084317F"/>
    <w:rsid w:val="0084692C"/>
    <w:rsid w:val="00855BB9"/>
    <w:rsid w:val="00861A2D"/>
    <w:rsid w:val="00862AB0"/>
    <w:rsid w:val="0086329A"/>
    <w:rsid w:val="008704C7"/>
    <w:rsid w:val="00872808"/>
    <w:rsid w:val="00873C73"/>
    <w:rsid w:val="00875B0B"/>
    <w:rsid w:val="00875FA8"/>
    <w:rsid w:val="00877C95"/>
    <w:rsid w:val="008807F7"/>
    <w:rsid w:val="00893DEB"/>
    <w:rsid w:val="00895F51"/>
    <w:rsid w:val="00897398"/>
    <w:rsid w:val="008A47EC"/>
    <w:rsid w:val="008B2088"/>
    <w:rsid w:val="008B2B00"/>
    <w:rsid w:val="008B2D33"/>
    <w:rsid w:val="008B47C3"/>
    <w:rsid w:val="008B4FAB"/>
    <w:rsid w:val="008B5026"/>
    <w:rsid w:val="008B6BB1"/>
    <w:rsid w:val="008B70EE"/>
    <w:rsid w:val="008C285A"/>
    <w:rsid w:val="008D13E1"/>
    <w:rsid w:val="008D25AE"/>
    <w:rsid w:val="008D36F0"/>
    <w:rsid w:val="008D7DBA"/>
    <w:rsid w:val="008E48FC"/>
    <w:rsid w:val="008F114D"/>
    <w:rsid w:val="008F5B9D"/>
    <w:rsid w:val="00900AFE"/>
    <w:rsid w:val="00905D02"/>
    <w:rsid w:val="009168B8"/>
    <w:rsid w:val="00916A64"/>
    <w:rsid w:val="009173FF"/>
    <w:rsid w:val="0092055D"/>
    <w:rsid w:val="00920880"/>
    <w:rsid w:val="00920C9F"/>
    <w:rsid w:val="00923E53"/>
    <w:rsid w:val="009249B6"/>
    <w:rsid w:val="00924ABC"/>
    <w:rsid w:val="0094561E"/>
    <w:rsid w:val="00945A2D"/>
    <w:rsid w:val="00952226"/>
    <w:rsid w:val="00957B35"/>
    <w:rsid w:val="009600CE"/>
    <w:rsid w:val="0096187F"/>
    <w:rsid w:val="00962E0F"/>
    <w:rsid w:val="00965DEE"/>
    <w:rsid w:val="009723ED"/>
    <w:rsid w:val="0097257F"/>
    <w:rsid w:val="00975261"/>
    <w:rsid w:val="00981C5F"/>
    <w:rsid w:val="009820F1"/>
    <w:rsid w:val="0098755E"/>
    <w:rsid w:val="00991819"/>
    <w:rsid w:val="009935E6"/>
    <w:rsid w:val="00993934"/>
    <w:rsid w:val="00993B68"/>
    <w:rsid w:val="009A0D3C"/>
    <w:rsid w:val="009A0E9E"/>
    <w:rsid w:val="009A3AD5"/>
    <w:rsid w:val="009A4F1C"/>
    <w:rsid w:val="009A548A"/>
    <w:rsid w:val="009A5AB4"/>
    <w:rsid w:val="009A6113"/>
    <w:rsid w:val="009A64EB"/>
    <w:rsid w:val="009A6520"/>
    <w:rsid w:val="009B059F"/>
    <w:rsid w:val="009B18DA"/>
    <w:rsid w:val="009B2A0A"/>
    <w:rsid w:val="009B76E6"/>
    <w:rsid w:val="009D0910"/>
    <w:rsid w:val="009D4CB9"/>
    <w:rsid w:val="009E03E1"/>
    <w:rsid w:val="009E77F4"/>
    <w:rsid w:val="009F1C6E"/>
    <w:rsid w:val="009F5880"/>
    <w:rsid w:val="00A01E59"/>
    <w:rsid w:val="00A04073"/>
    <w:rsid w:val="00A064BF"/>
    <w:rsid w:val="00A06782"/>
    <w:rsid w:val="00A108EB"/>
    <w:rsid w:val="00A11EE7"/>
    <w:rsid w:val="00A16D7D"/>
    <w:rsid w:val="00A2525D"/>
    <w:rsid w:val="00A26587"/>
    <w:rsid w:val="00A31037"/>
    <w:rsid w:val="00A32ECA"/>
    <w:rsid w:val="00A34C17"/>
    <w:rsid w:val="00A405DA"/>
    <w:rsid w:val="00A40D99"/>
    <w:rsid w:val="00A41CAB"/>
    <w:rsid w:val="00A41D88"/>
    <w:rsid w:val="00A443C2"/>
    <w:rsid w:val="00A51B28"/>
    <w:rsid w:val="00A55719"/>
    <w:rsid w:val="00A5608F"/>
    <w:rsid w:val="00A564F5"/>
    <w:rsid w:val="00A60789"/>
    <w:rsid w:val="00A66FB7"/>
    <w:rsid w:val="00A71B52"/>
    <w:rsid w:val="00A73BA5"/>
    <w:rsid w:val="00A77584"/>
    <w:rsid w:val="00A83447"/>
    <w:rsid w:val="00A83E3B"/>
    <w:rsid w:val="00A85933"/>
    <w:rsid w:val="00A93B96"/>
    <w:rsid w:val="00A9717E"/>
    <w:rsid w:val="00A975C0"/>
    <w:rsid w:val="00AA3F9E"/>
    <w:rsid w:val="00AA50F4"/>
    <w:rsid w:val="00AA6AF3"/>
    <w:rsid w:val="00AB0EDB"/>
    <w:rsid w:val="00AB1059"/>
    <w:rsid w:val="00AB2466"/>
    <w:rsid w:val="00AB3370"/>
    <w:rsid w:val="00AB5F3E"/>
    <w:rsid w:val="00AB699C"/>
    <w:rsid w:val="00AB6C12"/>
    <w:rsid w:val="00AB77D8"/>
    <w:rsid w:val="00AB7E8E"/>
    <w:rsid w:val="00AC00FB"/>
    <w:rsid w:val="00AC751D"/>
    <w:rsid w:val="00AD4A21"/>
    <w:rsid w:val="00AD7E58"/>
    <w:rsid w:val="00AE204F"/>
    <w:rsid w:val="00AE33F2"/>
    <w:rsid w:val="00AE442D"/>
    <w:rsid w:val="00AE75C1"/>
    <w:rsid w:val="00AF59D9"/>
    <w:rsid w:val="00AF7B67"/>
    <w:rsid w:val="00B0086E"/>
    <w:rsid w:val="00B01414"/>
    <w:rsid w:val="00B02394"/>
    <w:rsid w:val="00B0562C"/>
    <w:rsid w:val="00B05761"/>
    <w:rsid w:val="00B07357"/>
    <w:rsid w:val="00B11FC2"/>
    <w:rsid w:val="00B1217F"/>
    <w:rsid w:val="00B134FC"/>
    <w:rsid w:val="00B16829"/>
    <w:rsid w:val="00B21983"/>
    <w:rsid w:val="00B23FBC"/>
    <w:rsid w:val="00B3145D"/>
    <w:rsid w:val="00B33445"/>
    <w:rsid w:val="00B34201"/>
    <w:rsid w:val="00B34B75"/>
    <w:rsid w:val="00B3748D"/>
    <w:rsid w:val="00B378CE"/>
    <w:rsid w:val="00B43A4F"/>
    <w:rsid w:val="00B47E6A"/>
    <w:rsid w:val="00B52447"/>
    <w:rsid w:val="00B618AA"/>
    <w:rsid w:val="00B65AFF"/>
    <w:rsid w:val="00B67676"/>
    <w:rsid w:val="00B677EA"/>
    <w:rsid w:val="00B67842"/>
    <w:rsid w:val="00B70EC1"/>
    <w:rsid w:val="00B77DB4"/>
    <w:rsid w:val="00B77E77"/>
    <w:rsid w:val="00B82DCD"/>
    <w:rsid w:val="00B83EE2"/>
    <w:rsid w:val="00B91BF3"/>
    <w:rsid w:val="00BA59C1"/>
    <w:rsid w:val="00BA5E3F"/>
    <w:rsid w:val="00BA6ED1"/>
    <w:rsid w:val="00BB12F8"/>
    <w:rsid w:val="00BB3F97"/>
    <w:rsid w:val="00BC1402"/>
    <w:rsid w:val="00BC243B"/>
    <w:rsid w:val="00BC35F9"/>
    <w:rsid w:val="00BD1B7D"/>
    <w:rsid w:val="00BD1EBD"/>
    <w:rsid w:val="00BE017A"/>
    <w:rsid w:val="00BE05CD"/>
    <w:rsid w:val="00BE2486"/>
    <w:rsid w:val="00BE62A6"/>
    <w:rsid w:val="00C10F80"/>
    <w:rsid w:val="00C23459"/>
    <w:rsid w:val="00C25753"/>
    <w:rsid w:val="00C31CF7"/>
    <w:rsid w:val="00C33E61"/>
    <w:rsid w:val="00C415E1"/>
    <w:rsid w:val="00C46B74"/>
    <w:rsid w:val="00C506A6"/>
    <w:rsid w:val="00C51DF9"/>
    <w:rsid w:val="00C53D3F"/>
    <w:rsid w:val="00C53F0D"/>
    <w:rsid w:val="00C5417D"/>
    <w:rsid w:val="00C55DAC"/>
    <w:rsid w:val="00C56F94"/>
    <w:rsid w:val="00C5747F"/>
    <w:rsid w:val="00C60581"/>
    <w:rsid w:val="00C6254C"/>
    <w:rsid w:val="00C6355B"/>
    <w:rsid w:val="00C6373E"/>
    <w:rsid w:val="00C67183"/>
    <w:rsid w:val="00C706C6"/>
    <w:rsid w:val="00C71B2B"/>
    <w:rsid w:val="00C73A90"/>
    <w:rsid w:val="00C74561"/>
    <w:rsid w:val="00C7512B"/>
    <w:rsid w:val="00C76A08"/>
    <w:rsid w:val="00C94068"/>
    <w:rsid w:val="00CA18EB"/>
    <w:rsid w:val="00CB0A54"/>
    <w:rsid w:val="00CB36DB"/>
    <w:rsid w:val="00CC1383"/>
    <w:rsid w:val="00CC7C9E"/>
    <w:rsid w:val="00CC7DA5"/>
    <w:rsid w:val="00CD048D"/>
    <w:rsid w:val="00CE1660"/>
    <w:rsid w:val="00CE2B5E"/>
    <w:rsid w:val="00CE6E2C"/>
    <w:rsid w:val="00CF000E"/>
    <w:rsid w:val="00CF048E"/>
    <w:rsid w:val="00CF4418"/>
    <w:rsid w:val="00CF5E87"/>
    <w:rsid w:val="00CF655A"/>
    <w:rsid w:val="00CF75C1"/>
    <w:rsid w:val="00D01C96"/>
    <w:rsid w:val="00D065E1"/>
    <w:rsid w:val="00D119BC"/>
    <w:rsid w:val="00D15D8D"/>
    <w:rsid w:val="00D22CDF"/>
    <w:rsid w:val="00D320B5"/>
    <w:rsid w:val="00D341C9"/>
    <w:rsid w:val="00D34D70"/>
    <w:rsid w:val="00D36040"/>
    <w:rsid w:val="00D416B4"/>
    <w:rsid w:val="00D479BA"/>
    <w:rsid w:val="00D52070"/>
    <w:rsid w:val="00D559E7"/>
    <w:rsid w:val="00D56055"/>
    <w:rsid w:val="00D56B01"/>
    <w:rsid w:val="00D62B38"/>
    <w:rsid w:val="00D72B25"/>
    <w:rsid w:val="00D7480B"/>
    <w:rsid w:val="00D80CFA"/>
    <w:rsid w:val="00D81D6F"/>
    <w:rsid w:val="00D82520"/>
    <w:rsid w:val="00D828BA"/>
    <w:rsid w:val="00D8307A"/>
    <w:rsid w:val="00D856DE"/>
    <w:rsid w:val="00D85726"/>
    <w:rsid w:val="00D85A75"/>
    <w:rsid w:val="00D86331"/>
    <w:rsid w:val="00D909D3"/>
    <w:rsid w:val="00D93B6B"/>
    <w:rsid w:val="00D9545B"/>
    <w:rsid w:val="00D95F72"/>
    <w:rsid w:val="00D967FD"/>
    <w:rsid w:val="00DA34BC"/>
    <w:rsid w:val="00DA3D70"/>
    <w:rsid w:val="00DA4A04"/>
    <w:rsid w:val="00DA5170"/>
    <w:rsid w:val="00DA7EF6"/>
    <w:rsid w:val="00DB63DA"/>
    <w:rsid w:val="00DC05B5"/>
    <w:rsid w:val="00DC12A7"/>
    <w:rsid w:val="00DC4371"/>
    <w:rsid w:val="00DC6B1F"/>
    <w:rsid w:val="00DC7100"/>
    <w:rsid w:val="00DD4B3E"/>
    <w:rsid w:val="00DD77A2"/>
    <w:rsid w:val="00DD7BD0"/>
    <w:rsid w:val="00DE0639"/>
    <w:rsid w:val="00DE260E"/>
    <w:rsid w:val="00DE678E"/>
    <w:rsid w:val="00DF109E"/>
    <w:rsid w:val="00E10A07"/>
    <w:rsid w:val="00E1712D"/>
    <w:rsid w:val="00E27EB1"/>
    <w:rsid w:val="00E30B0E"/>
    <w:rsid w:val="00E43A48"/>
    <w:rsid w:val="00E44974"/>
    <w:rsid w:val="00E46AF2"/>
    <w:rsid w:val="00E46CD7"/>
    <w:rsid w:val="00E47348"/>
    <w:rsid w:val="00E515CF"/>
    <w:rsid w:val="00E56CEF"/>
    <w:rsid w:val="00E56D10"/>
    <w:rsid w:val="00E57E7C"/>
    <w:rsid w:val="00E603D5"/>
    <w:rsid w:val="00E6069E"/>
    <w:rsid w:val="00E63C0D"/>
    <w:rsid w:val="00E64157"/>
    <w:rsid w:val="00E7112A"/>
    <w:rsid w:val="00E742D0"/>
    <w:rsid w:val="00E85FAB"/>
    <w:rsid w:val="00E9345F"/>
    <w:rsid w:val="00EA00BF"/>
    <w:rsid w:val="00EA0DCA"/>
    <w:rsid w:val="00EA1EA1"/>
    <w:rsid w:val="00EA5128"/>
    <w:rsid w:val="00EB400C"/>
    <w:rsid w:val="00EB6CCB"/>
    <w:rsid w:val="00EB7722"/>
    <w:rsid w:val="00EC6FB7"/>
    <w:rsid w:val="00ED1A1F"/>
    <w:rsid w:val="00ED3E6E"/>
    <w:rsid w:val="00ED7354"/>
    <w:rsid w:val="00ED7DF7"/>
    <w:rsid w:val="00EE02FE"/>
    <w:rsid w:val="00EE0BD0"/>
    <w:rsid w:val="00EE2109"/>
    <w:rsid w:val="00EE2D5F"/>
    <w:rsid w:val="00EE52CB"/>
    <w:rsid w:val="00EE6401"/>
    <w:rsid w:val="00EE6B7B"/>
    <w:rsid w:val="00EE75CB"/>
    <w:rsid w:val="00EF51EB"/>
    <w:rsid w:val="00F01D30"/>
    <w:rsid w:val="00F02902"/>
    <w:rsid w:val="00F07F56"/>
    <w:rsid w:val="00F21E14"/>
    <w:rsid w:val="00F25C47"/>
    <w:rsid w:val="00F26835"/>
    <w:rsid w:val="00F276C5"/>
    <w:rsid w:val="00F30102"/>
    <w:rsid w:val="00F327DB"/>
    <w:rsid w:val="00F45E66"/>
    <w:rsid w:val="00F470E2"/>
    <w:rsid w:val="00F50593"/>
    <w:rsid w:val="00F574B3"/>
    <w:rsid w:val="00F5794D"/>
    <w:rsid w:val="00F57E7D"/>
    <w:rsid w:val="00F62132"/>
    <w:rsid w:val="00F65D8A"/>
    <w:rsid w:val="00F75497"/>
    <w:rsid w:val="00F84C6F"/>
    <w:rsid w:val="00F91821"/>
    <w:rsid w:val="00F9185F"/>
    <w:rsid w:val="00F91FBA"/>
    <w:rsid w:val="00F92ABA"/>
    <w:rsid w:val="00F92B0E"/>
    <w:rsid w:val="00F96144"/>
    <w:rsid w:val="00FA6E01"/>
    <w:rsid w:val="00FB3C8D"/>
    <w:rsid w:val="00FB46FE"/>
    <w:rsid w:val="00FB4F9C"/>
    <w:rsid w:val="00FC05C7"/>
    <w:rsid w:val="00FC1F8F"/>
    <w:rsid w:val="00FC646E"/>
    <w:rsid w:val="00FE1013"/>
    <w:rsid w:val="00FE6DAB"/>
    <w:rsid w:val="00FE7998"/>
    <w:rsid w:val="00FE7CED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A2F498"/>
  <w15:docId w15:val="{6B236D09-64F7-4D1E-96EF-F1AD04D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F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FE0"/>
    <w:pPr>
      <w:keepNext/>
      <w:numPr>
        <w:numId w:val="1"/>
      </w:numPr>
      <w:spacing w:after="240"/>
      <w:jc w:val="left"/>
      <w:outlineLvl w:val="0"/>
    </w:pPr>
    <w:rPr>
      <w:rFonts w:eastAsia="Adobe Gothic Std B"/>
      <w:b/>
      <w:bCs/>
      <w:color w:val="005DA4"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04F"/>
    <w:pPr>
      <w:spacing w:after="240"/>
      <w:jc w:val="left"/>
      <w:outlineLvl w:val="1"/>
    </w:pPr>
    <w:rPr>
      <w:b/>
      <w:color w:val="005DA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C56"/>
    <w:pPr>
      <w:keepNext/>
      <w:spacing w:after="240"/>
      <w:ind w:left="426" w:hanging="66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6BE"/>
    <w:pPr>
      <w:keepNext/>
      <w:spacing w:before="240"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B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1B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1B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1BF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5FE0"/>
    <w:rPr>
      <w:rFonts w:ascii="Times New Roman" w:eastAsia="Adobe Gothic Std B" w:hAnsi="Times New Roman"/>
      <w:b/>
      <w:bCs/>
      <w:color w:val="005DA4"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AE204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544C56"/>
    <w:rPr>
      <w:rFonts w:ascii="Times New Roman" w:hAnsi="Times New Roman"/>
      <w:bCs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uiPriority w:val="9"/>
    <w:rsid w:val="002606BE"/>
    <w:rPr>
      <w:rFonts w:ascii="Times New Roman" w:hAnsi="Times New Roman"/>
      <w:b/>
      <w:bCs/>
      <w:color w:val="005DA4"/>
      <w:sz w:val="24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1B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1BF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1BF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1BF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1BF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421B8"/>
    <w:pPr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21B8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1B8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ubtitleChar">
    <w:name w:val="Subtitle Char"/>
    <w:link w:val="Subtitle"/>
    <w:uiPriority w:val="11"/>
    <w:rsid w:val="002421B8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B91BF3"/>
    <w:rPr>
      <w:b/>
      <w:bCs/>
    </w:rPr>
  </w:style>
  <w:style w:type="character" w:styleId="Emphasis">
    <w:name w:val="Emphasis"/>
    <w:uiPriority w:val="20"/>
    <w:qFormat/>
    <w:rsid w:val="00B91BF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91BF3"/>
    <w:rPr>
      <w:szCs w:val="32"/>
    </w:rPr>
  </w:style>
  <w:style w:type="paragraph" w:styleId="ListParagraph">
    <w:name w:val="List Paragraph"/>
    <w:basedOn w:val="Normal"/>
    <w:uiPriority w:val="34"/>
    <w:qFormat/>
    <w:rsid w:val="00B91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BF3"/>
    <w:rPr>
      <w:i/>
    </w:rPr>
  </w:style>
  <w:style w:type="character" w:customStyle="1" w:styleId="QuoteChar">
    <w:name w:val="Quote Char"/>
    <w:link w:val="Quote"/>
    <w:uiPriority w:val="29"/>
    <w:rsid w:val="00B91B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B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1BF3"/>
    <w:rPr>
      <w:b/>
      <w:i/>
      <w:sz w:val="24"/>
    </w:rPr>
  </w:style>
  <w:style w:type="character" w:styleId="SubtleEmphasis">
    <w:name w:val="Subtle Emphasis"/>
    <w:uiPriority w:val="19"/>
    <w:qFormat/>
    <w:rsid w:val="00B91BF3"/>
    <w:rPr>
      <w:i/>
      <w:color w:val="5A5A5A"/>
    </w:rPr>
  </w:style>
  <w:style w:type="character" w:styleId="IntenseEmphasis">
    <w:name w:val="Intense Emphasis"/>
    <w:uiPriority w:val="21"/>
    <w:qFormat/>
    <w:rsid w:val="00B91BF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1BF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1BF3"/>
    <w:rPr>
      <w:b/>
      <w:sz w:val="24"/>
      <w:u w:val="single"/>
    </w:rPr>
  </w:style>
  <w:style w:type="character" w:styleId="BookTitle">
    <w:name w:val="Book Title"/>
    <w:uiPriority w:val="33"/>
    <w:qFormat/>
    <w:rsid w:val="00B91B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1B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F33CF"/>
    <w:pPr>
      <w:tabs>
        <w:tab w:val="left" w:pos="440"/>
        <w:tab w:val="right" w:leader="dot" w:pos="9016"/>
      </w:tabs>
      <w:spacing w:before="120" w:after="120"/>
    </w:pPr>
    <w:rPr>
      <w:b/>
      <w:sz w:val="20"/>
    </w:rPr>
  </w:style>
  <w:style w:type="character" w:styleId="Hyperlink">
    <w:name w:val="Hyperlink"/>
    <w:unhideWhenUsed/>
    <w:rsid w:val="00EE21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1383"/>
    <w:pPr>
      <w:tabs>
        <w:tab w:val="left" w:pos="426"/>
        <w:tab w:val="right" w:leader="dot" w:pos="9016"/>
      </w:tabs>
      <w:spacing w:before="60" w:after="60"/>
    </w:pPr>
    <w:rPr>
      <w:caps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109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1"/>
    <w:rsid w:val="0012671F"/>
    <w:rPr>
      <w:rFonts w:ascii="Times New Roman" w:hAnsi="Times New Roman"/>
      <w:sz w:val="24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4ABE"/>
    <w:pPr>
      <w:tabs>
        <w:tab w:val="right" w:leader="dot" w:pos="9016"/>
      </w:tabs>
      <w:ind w:left="1276"/>
      <w:jc w:val="left"/>
    </w:pPr>
    <w:rPr>
      <w:rFonts w:eastAsia="MS Mincho" w:cs="Arial"/>
      <w:i/>
      <w:sz w:val="20"/>
      <w:szCs w:val="22"/>
      <w:lang w:eastAsia="ja-JP"/>
    </w:rPr>
  </w:style>
  <w:style w:type="character" w:customStyle="1" w:styleId="ColorfulGrid-Accent1Char">
    <w:name w:val="Colorful Grid - Accent 1 Char"/>
    <w:link w:val="ColorfulGrid-Accent1"/>
    <w:uiPriority w:val="29"/>
    <w:rsid w:val="0035115D"/>
    <w:rPr>
      <w:i/>
      <w:sz w:val="24"/>
      <w:szCs w:val="24"/>
    </w:rPr>
  </w:style>
  <w:style w:type="character" w:customStyle="1" w:styleId="LightShading-Accent2Char">
    <w:name w:val="Light Shading - Accent 2 Char"/>
    <w:link w:val="LightShading-Accent2"/>
    <w:uiPriority w:val="30"/>
    <w:rsid w:val="0035115D"/>
    <w:rPr>
      <w:b/>
      <w:i/>
      <w:sz w:val="24"/>
    </w:rPr>
  </w:style>
  <w:style w:type="character" w:customStyle="1" w:styleId="Accentuationdiscrte">
    <w:name w:val="Accentuation discrète"/>
    <w:uiPriority w:val="19"/>
    <w:qFormat/>
    <w:rsid w:val="0035115D"/>
    <w:rPr>
      <w:i/>
      <w:color w:val="5A5A5A"/>
    </w:rPr>
  </w:style>
  <w:style w:type="character" w:customStyle="1" w:styleId="Forteaccentuation">
    <w:name w:val="Forte accentuation"/>
    <w:uiPriority w:val="21"/>
    <w:qFormat/>
    <w:rsid w:val="0035115D"/>
    <w:rPr>
      <w:b/>
      <w:i/>
      <w:sz w:val="24"/>
      <w:szCs w:val="24"/>
      <w:u w:val="single"/>
    </w:rPr>
  </w:style>
  <w:style w:type="character" w:customStyle="1" w:styleId="Rfrenceple">
    <w:name w:val="Référence pâle"/>
    <w:uiPriority w:val="31"/>
    <w:qFormat/>
    <w:rsid w:val="0035115D"/>
    <w:rPr>
      <w:sz w:val="24"/>
      <w:szCs w:val="24"/>
      <w:u w:val="single"/>
    </w:rPr>
  </w:style>
  <w:style w:type="character" w:customStyle="1" w:styleId="Rfrenceintense">
    <w:name w:val="Référence intense"/>
    <w:uiPriority w:val="32"/>
    <w:qFormat/>
    <w:rsid w:val="0035115D"/>
    <w:rPr>
      <w:b/>
      <w:sz w:val="24"/>
      <w:u w:val="single"/>
    </w:rPr>
  </w:style>
  <w:style w:type="character" w:customStyle="1" w:styleId="Titredulivre">
    <w:name w:val="Titre du livre"/>
    <w:uiPriority w:val="33"/>
    <w:qFormat/>
    <w:rsid w:val="0035115D"/>
    <w:rPr>
      <w:rFonts w:ascii="Cambria" w:eastAsia="Times New Roman" w:hAnsi="Cambria"/>
      <w:b/>
      <w:i/>
      <w:sz w:val="24"/>
      <w:szCs w:val="24"/>
    </w:rPr>
  </w:style>
  <w:style w:type="paragraph" w:customStyle="1" w:styleId="En-ttedetabledesmatires">
    <w:name w:val="En-tête de table des matières"/>
    <w:basedOn w:val="Heading1"/>
    <w:next w:val="Normal"/>
    <w:uiPriority w:val="39"/>
    <w:semiHidden/>
    <w:unhideWhenUsed/>
    <w:qFormat/>
    <w:rsid w:val="0035115D"/>
    <w:pPr>
      <w:jc w:val="both"/>
      <w:outlineLvl w:val="9"/>
    </w:pPr>
    <w:rPr>
      <w:rFonts w:ascii="Arial" w:eastAsia="Times New Roman" w:hAnsi="Arial"/>
      <w:color w:val="auto"/>
      <w:sz w:val="32"/>
      <w:szCs w:val="32"/>
    </w:rPr>
  </w:style>
  <w:style w:type="character" w:styleId="FootnoteReference">
    <w:name w:val="footnote reference"/>
    <w:aliases w:val="BVI fnr,Footnote Reference Superscript,SUPERS,Footnote symbol,(Footnote Reference),Footnote reference number,note TESI,EN Footnote Reference,Voetnootverwijzing,Times 10 Point,Exposant 3 Point,Appel note de bas de,FR,C"/>
    <w:uiPriority w:val="99"/>
    <w:unhideWhenUsed/>
    <w:qFormat/>
    <w:rsid w:val="0035115D"/>
    <w:rPr>
      <w:vertAlign w:val="superscript"/>
    </w:rPr>
  </w:style>
  <w:style w:type="paragraph" w:customStyle="1" w:styleId="Default">
    <w:name w:val="Default"/>
    <w:rsid w:val="00351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n,footnote text,Fußnotentext Char Char Char Char,Fußnotentext Char Char Char,Footnotetext,Footnotetext1,ftx,Footnotetext2,ftx1,Footnotetext3,ftx2,Footnotetext4,ftx3,Footnotetext5,ftx4,Footnotetext6,Footnotetext7,Footnotetext8"/>
    <w:basedOn w:val="Normal"/>
    <w:link w:val="FootnoteTextChar"/>
    <w:uiPriority w:val="99"/>
    <w:unhideWhenUsed/>
    <w:rsid w:val="0035115D"/>
    <w:rPr>
      <w:sz w:val="20"/>
      <w:szCs w:val="20"/>
    </w:rPr>
  </w:style>
  <w:style w:type="character" w:customStyle="1" w:styleId="FootnoteTextChar">
    <w:name w:val="Footnote Text Char"/>
    <w:aliases w:val="fn Char,footnote text Char,Fußnotentext Char Char Char Char Char,Fußnotentext Char Char Char Char1,Footnotetext Char,Footnotetext1 Char,ftx Char,Footnotetext2 Char,ftx1 Char,Footnotetext3 Char,ftx2 Char,Footnotetext4 Char,ftx3 Char"/>
    <w:link w:val="FootnoteText"/>
    <w:uiPriority w:val="99"/>
    <w:rsid w:val="0035115D"/>
    <w:rPr>
      <w:rFonts w:ascii="Times New Roman" w:hAnsi="Times New Roman"/>
      <w:lang w:val="pl-PL" w:eastAsia="en-US"/>
    </w:rPr>
  </w:style>
  <w:style w:type="character" w:styleId="CommentReference">
    <w:name w:val="annotation reference"/>
    <w:uiPriority w:val="99"/>
    <w:semiHidden/>
    <w:unhideWhenUsed/>
    <w:rsid w:val="0035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1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115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15D"/>
    <w:rPr>
      <w:rFonts w:ascii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35115D"/>
    <w:rPr>
      <w:color w:val="800080"/>
      <w:u w:val="single"/>
    </w:rPr>
  </w:style>
  <w:style w:type="table" w:styleId="TableGrid">
    <w:name w:val="Table Grid"/>
    <w:basedOn w:val="TableNormal"/>
    <w:uiPriority w:val="59"/>
    <w:rsid w:val="0035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5115D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115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5115D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5115D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5115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5115D"/>
    <w:pPr>
      <w:ind w:left="1920"/>
      <w:jc w:val="left"/>
    </w:pPr>
    <w:rPr>
      <w:rFonts w:ascii="Calibri" w:hAnsi="Calibri" w:cs="Calibri"/>
      <w:sz w:val="18"/>
      <w:szCs w:val="18"/>
    </w:rPr>
  </w:style>
  <w:style w:type="table" w:styleId="ColorfulGrid-Accent1">
    <w:name w:val="Colorful Grid Accent 1"/>
    <w:basedOn w:val="TableNormal"/>
    <w:link w:val="ColorfulGrid-Accent1Char"/>
    <w:uiPriority w:val="29"/>
    <w:rsid w:val="0035115D"/>
    <w:rPr>
      <w:i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link w:val="LightShading-Accent2Char"/>
    <w:uiPriority w:val="30"/>
    <w:rsid w:val="0035115D"/>
    <w:rPr>
      <w:b/>
      <w:i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">
    <w:name w:val="HEADING"/>
    <w:basedOn w:val="Normal"/>
    <w:link w:val="HEADINGChar"/>
    <w:qFormat/>
    <w:rsid w:val="000F33CF"/>
    <w:rPr>
      <w:b/>
      <w:color w:val="005DA4"/>
    </w:rPr>
  </w:style>
  <w:style w:type="character" w:customStyle="1" w:styleId="MediumShading1-Accent3Char">
    <w:name w:val="Medium Shading 1 - Accent 3 Char"/>
    <w:link w:val="MediumShading1-Accent3"/>
    <w:uiPriority w:val="29"/>
    <w:rsid w:val="00B3748D"/>
    <w:rPr>
      <w:i/>
      <w:sz w:val="24"/>
      <w:szCs w:val="24"/>
    </w:rPr>
  </w:style>
  <w:style w:type="character" w:customStyle="1" w:styleId="HEADINGChar">
    <w:name w:val="HEADING Char"/>
    <w:link w:val="HEADING"/>
    <w:rsid w:val="000F33C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MediumShading2-Accent3Char">
    <w:name w:val="Medium Shading 2 - Accent 3 Char"/>
    <w:link w:val="MediumShading2-Accent3"/>
    <w:uiPriority w:val="30"/>
    <w:rsid w:val="00B3748D"/>
    <w:rPr>
      <w:b/>
      <w:i/>
      <w:sz w:val="24"/>
    </w:rPr>
  </w:style>
  <w:style w:type="table" w:styleId="MediumShading1-Accent3">
    <w:name w:val="Medium Shading 1 Accent 3"/>
    <w:basedOn w:val="TableNormal"/>
    <w:link w:val="MediumShading1-Accent3Char"/>
    <w:uiPriority w:val="29"/>
    <w:rsid w:val="00B3748D"/>
    <w:rPr>
      <w:i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link w:val="MediumShading2-Accent3Char"/>
    <w:uiPriority w:val="30"/>
    <w:rsid w:val="00B3748D"/>
    <w:rPr>
      <w:b/>
      <w:i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259B6"/>
    <w:pPr>
      <w:jc w:val="left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59B6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5259B6"/>
    <w:rPr>
      <w:vertAlign w:val="superscript"/>
    </w:rPr>
  </w:style>
  <w:style w:type="character" w:customStyle="1" w:styleId="apple-converted-space">
    <w:name w:val="apple-converted-space"/>
    <w:basedOn w:val="DefaultParagraphFont"/>
    <w:rsid w:val="008B5026"/>
  </w:style>
  <w:style w:type="character" w:customStyle="1" w:styleId="FootnoteTextChar1">
    <w:name w:val="Footnote Text Char1"/>
    <w:uiPriority w:val="99"/>
    <w:locked/>
    <w:rsid w:val="001D419A"/>
    <w:rPr>
      <w:lang w:val="pl-PL" w:eastAsia="it-IT" w:bidi="ar-SA"/>
    </w:rPr>
  </w:style>
  <w:style w:type="paragraph" w:styleId="NormalWeb">
    <w:name w:val="Normal (Web)"/>
    <w:basedOn w:val="Normal"/>
    <w:uiPriority w:val="99"/>
    <w:semiHidden/>
    <w:unhideWhenUsed/>
    <w:rsid w:val="003901D2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Style1">
    <w:name w:val="Style1"/>
    <w:basedOn w:val="EndnoteText"/>
    <w:qFormat/>
    <w:rsid w:val="00617099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00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dps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ps.europa.eu/sites/edp/files/publication/19-04-02_edps_opinion_budapest_convention_en.pdf" TargetMode="External"/><Relationship Id="rId1" Type="http://schemas.openxmlformats.org/officeDocument/2006/relationships/hyperlink" Target="https://edps.europa.eu/sites/edp/files/publication/19-04-02_edps_opinion_on_eu_us_agreement_on_e-evidenc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Amanda Joyce"/>
    <f:field ref="casefile_EDPSOM_103_3700_FieldCaseNumber" par="" text="2019-0881"/>
    <f:field ref="casefile_EDPSOM_103_3700_FieldTitle" par="" text="Passenger Name Record (PNR) data transfer negotiations with Japan"/>
    <f:field ref="casefile_EDPSOM_103_3700_FieldClass" par="" text="04.01.03 Consultation on international agreements"/>
    <f:field ref="casefile_EDPSOM_103_3700_FieldInitiator" par="" text="EDPS"/>
    <f:field ref="casefile_EDPSOM_103_3700_FieldInterinstitutional" par="" text=""/>
    <f:field ref="EDPSOM_103_3700_FieldSensitivity" par="" text="Normal"/>
    <f:field ref="EDPSOM_103_3700_FieldExternalRef" par="" text="" edit="true"/>
    <f:field ref="EDPSOM_103_3700_FieldDescription" par="" text="" edit="true"/>
    <f:field ref="objname" par="" text="Opinion_Recommendation_PNR_Japan_fin" edit="true"/>
    <f:field ref="objsubject" par="" text="" edit="true"/>
    <f:field ref="objcreatedby" par="" text="Angelov, Plamen"/>
    <f:field ref="objcreatedat" par="" date="2019-10-24T10:39:03" text="Oct 24, 2019 10:39:03 AM"/>
    <f:field ref="objchangedby" par="" text="Angelov, Plamen"/>
    <f:field ref="objmodifiedat" par="" date="2019-10-24T16:47:31" text="Oct 24, 2019 4:47:31 PM"/>
  </f:record>
  <f:display par="" text="Mail Merge">
    <f:field ref="doc_FSCFOLIO_1_1001_FieldDocumentNumber" text="Document Number"/>
    <f:field ref="doc_FSCFOLIO_1_1001_FieldSubject" text="Subject"/>
  </f:display>
  <f:display par="" text="Signatures">
    <f:field ref="FSCFOLIO_1_1001_SignaturesFldCtx_FSCFOLIO_1_1001_FieldLastSignature" text="Last Signature"/>
    <f:field ref="FSCFOLIO_1_1001_SignaturesFldCtx_FSCFOLIO_1_1001_FieldLastSignatureBy" text="Last Signature By"/>
    <f:field ref="FSCFOLIO_1_1001_SignaturesFldCtx_FSCFOLIO_1_1001_FieldLastSignatureAt" text="Last Signature on/at"/>
    <f:field ref="FSCFOLIO_1_1001_SignaturesFldCtx_FSCFOLIO_1_1001_FieldLastSignatureRemark" text="Remark of Last Signature"/>
  </f:display>
  <f:display par="" text="General">
    <f:field ref="FSCFOLIO_1_1001_FieldCurrentUser" text="Current User"/>
    <f:field ref="EDPSOM_103_3700_FieldSensitivity" text="Sensitivity"/>
    <f:field ref="EDPSOM_103_3700_FieldExternalRef" text="Sender's reference"/>
    <f:field ref="EDPSOM_103_3700_FieldDescription" text="Description"/>
    <f:field ref="objname" text="Name"/>
    <f:field ref="objsubject" text="Subject"/>
    <f:field ref="objcreatedby" text="Created by"/>
    <f:field ref="objcreatedat" text="Created on/at"/>
    <f:field ref="objchangedby" text="Last Change by"/>
    <f:field ref="objmodifiedat" text="Last Change on/at"/>
  </f:display>
  <f:display par="" text="Case file">
    <f:field ref="casefile_EDPSOM_103_3700_FieldCaseNumber" text="Case number"/>
    <f:field ref="casefile_EDPSOM_103_3700_FieldTitle" text="Title"/>
    <f:field ref="casefile_EDPSOM_103_3700_FieldClass" text="Class"/>
    <f:field ref="casefile_EDPSOM_103_3700_FieldInitiator" text="Initiator"/>
    <f:field ref="casefile_EDPSOM_103_3700_FieldInterinstitutional" text="Interinstitutional numb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F73FB3-D347-44B1-AFF1-D2F4C3FFF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FBEBF-13E9-4536-8449-F01A20CD665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1</ap:Pages>
  <ap:Words>1585</ap:Words>
  <ap:Characters>9040</ap:Characters>
  <ap:Application>Microsoft Office Word</ap:Application>
  <ap:DocSecurity>0</ap:DocSecurity>
  <ap:Lines>75</ap:Lines>
  <ap:Paragraphs>21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CDT</ap:Company>
  <ap:LinksUpToDate>false</ap:LinksUpToDate>
  <ap:CharactersWithSpaces>10604</ap:CharactersWithSpaces>
  <ap:SharedDoc>false</ap:SharedDoc>
  <ap:HLinks>
    <vt:vector baseType="variant" size="222"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_Toc418070558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_Toc418070557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_Toc418070556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_Toc418070555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_Toc418070554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_Toc418070553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_Toc418070552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_Toc418070551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_Toc418070550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_Toc418070549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_Toc418070548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_Toc418070547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_Toc418070546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_Toc418070545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_Toc418070544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_Toc418070543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_Toc418070542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_Toc418070541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_Toc418070540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_Toc418070539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_Toc418070538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_Toc418070537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_Toc418070536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_Toc418070535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_Toc418070534</vt:lpwstr>
      </vt:variant>
      <vt:variant>
        <vt:i4>2686982</vt:i4>
      </vt:variant>
      <vt:variant>
        <vt:i4>33</vt:i4>
      </vt:variant>
      <vt:variant>
        <vt:i4>0</vt:i4>
      </vt:variant>
      <vt:variant>
        <vt:i4>5</vt:i4>
      </vt:variant>
      <vt:variant>
        <vt:lpwstr>http://idpc.gov.mt/dbfile.aspx/Opinion3_2013.pdf</vt:lpwstr>
      </vt:variant>
      <vt:variant>
        <vt:lpwstr/>
      </vt:variant>
      <vt:variant>
        <vt:i4>524333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http://ec.europa.eu/justice/policies/privacy/docs/wpdocs/2010/wp169_en.pdf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http://ec.europa.eu/justice/data-protection/article-29/documentation/opinion-recommendation/index_en.htm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https://secure.edps.europa.eu/EDPSWEB/edps/EDPS/IPEN</vt:lpwstr>
      </vt:variant>
      <vt:variant>
        <vt:lpwstr/>
      </vt:variant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http://www.enisa.europa.eu/activities/Resilience-and-CIIP/critical-applications/smartphone-security-1/smartphone-secure-development-guidelines/at_download/fullReport</vt:lpwstr>
      </vt:variant>
      <vt:variant>
        <vt:lpwstr/>
      </vt:variant>
      <vt:variant>
        <vt:i4>2818081</vt:i4>
      </vt:variant>
      <vt:variant>
        <vt:i4>18</vt:i4>
      </vt:variant>
      <vt:variant>
        <vt:i4>0</vt:i4>
      </vt:variant>
      <vt:variant>
        <vt:i4>5</vt:i4>
      </vt:variant>
      <vt:variant>
        <vt:lpwstr>https://wcd.coe.int/ViewDoc.jsp?id=1710949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http://online.wsj.com/article/SB10001424052748704694004576020083703574602.html</vt:lpwstr>
      </vt:variant>
      <vt:variant>
        <vt:lpwstr/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http://ec.europa.eu/justice/data-protection/article-29/documentation/other-document/files/2015/20150205_letter_art29wp_ec_health_data_after_plenary_en.pdf</vt:lpwstr>
      </vt:variant>
      <vt:variant>
        <vt:lpwstr/>
      </vt:variant>
      <vt:variant>
        <vt:i4>6291531</vt:i4>
      </vt:variant>
      <vt:variant>
        <vt:i4>9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http://ec.europa.eu/justice/data-protection/article-29/documentation/opinion-recommendation/files/2014/wp216_en.pdf</vt:lpwstr>
      </vt:variant>
      <vt:variant>
        <vt:lpwstr/>
      </vt:variant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http://ec.europa.eu/justice/policies/privacy/docs/wpdocs/2007/wp136_en.pdf</vt:lpwstr>
      </vt:variant>
      <vt:variant>
        <vt:lpwstr/>
      </vt:variant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https://secure.edps.europa.eu/EDPSWEB/webdav/site/mySite/shared/Documents/Consultation/Thematic%20Guidelines/14-11-25_Financial_Guidelines_EN.pdf</vt:lpwstr>
      </vt:variant>
      <vt:variant>
        <vt:lpwstr/>
      </vt:variant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http://ec.europa.eu/justice/data-protection/article-29/documentation/opinion-recommendation/files/2013/wp202_en.pdf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12</revision>
  <lastPrinted>2019-10-24T14:21:00.0000000Z</lastPrinted>
  <dcterms:created xsi:type="dcterms:W3CDTF">2019-10-25T09:45:00.0000000Z</dcterms:created>
  <dcterms:modified xsi:type="dcterms:W3CDTF">2019-11-11T10:56:00.0000000Z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DPSOM@103.3700:edpscasenumber">
    <vt:lpwstr>2019-0881</vt:lpwstr>
  </property>
  <property fmtid="{D5CDD505-2E9C-101B-9397-08002B2CF9AE}" pid="3" name="FSC#EDPSOM@103.3700:edpscasetitle">
    <vt:lpwstr>Passenger Name Record (PNR) data transfer negotiations with Japan</vt:lpwstr>
  </property>
  <property fmtid="{D5CDD505-2E9C-101B-9397-08002B2CF9AE}" pid="4" name="FSC#EDPSOM@103.3700:edpscasedescription">
    <vt:lpwstr>Passenger Name Record (PNR) data transfer negotiations with Japan</vt:lpwstr>
  </property>
  <property fmtid="{D5CDD505-2E9C-101B-9397-08002B2CF9AE}" pid="5" name="FSC#EDPSOM@103.3700:edpsarrivalnumber">
    <vt:lpwstr/>
  </property>
  <property fmtid="{D5CDD505-2E9C-101B-9397-08002B2CF9AE}" pid="6" name="FSC#EDPSOM@103.3700:edpsdeparturenumber">
    <vt:lpwstr/>
  </property>
  <property fmtid="{D5CDD505-2E9C-101B-9397-08002B2CF9AE}" pid="7" name="FSC#COOSYSTEM@1.1:Container">
    <vt:lpwstr>COO.6515.100.4.380260</vt:lpwstr>
  </property>
  <property fmtid="{D5CDD505-2E9C-101B-9397-08002B2CF9AE}" pid="8" name="FSC#FSCFOLIO@1.1001:docpropproject">
    <vt:lpwstr/>
  </property>
</Properties>
</file>