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E1699" w:rsidR="00993934" w:rsidP="00306297" w:rsidRDefault="00993934" w14:paraId="3AA01DBC" w14:textId="7167B3F8">
      <w:pPr>
        <w:rPr>
          <w:b/>
          <w:i/>
        </w:rPr>
      </w:pPr>
      <w:r w:rsidRPr="004E1699">
        <w:rPr>
          <w:b/>
        </w:rPr>
        <w:t>Resumo do parecer da Autoridade Europeia para a Proteção de Dados sobre o mandato de negociação de um acordo entre a UE e o Japão para a transferência e utilização de dados dos registos de identificação dos passageiros</w:t>
      </w:r>
    </w:p>
    <w:p w:rsidRPr="004E1699" w:rsidR="00993934" w:rsidP="00306297" w:rsidRDefault="00993934" w14:paraId="3B817892" w14:textId="77777777">
      <w:pPr>
        <w:rPr>
          <w:i/>
        </w:rPr>
      </w:pPr>
    </w:p>
    <w:p w:rsidRPr="004E1699" w:rsidR="00993934" w:rsidP="00993934" w:rsidRDefault="00993934" w14:paraId="2E31B8C9" w14:textId="77777777">
      <w:pPr>
        <w:rPr>
          <w:i/>
        </w:rPr>
      </w:pPr>
      <w:r w:rsidRPr="004E1699">
        <w:rPr>
          <w:i/>
        </w:rPr>
        <w:t xml:space="preserve">[O texto integral do presente parecer encontra-se disponível em EN, FR e DE no sítio Web da AEPD em </w:t>
      </w:r>
      <w:hyperlink w:history="1" r:id="rId10">
        <w:r w:rsidRPr="004E1699">
          <w:rPr>
            <w:rStyle w:val="Hyperlink"/>
            <w:i/>
          </w:rPr>
          <w:t>www.edps.europa.eu</w:t>
        </w:r>
      </w:hyperlink>
      <w:r w:rsidRPr="004E1699">
        <w:rPr>
          <w:i/>
        </w:rPr>
        <w:t>]</w:t>
      </w:r>
    </w:p>
    <w:p w:rsidRPr="004E1699" w:rsidR="00993934" w:rsidP="00306297" w:rsidRDefault="00993934" w14:paraId="56FC0468" w14:textId="77777777">
      <w:pPr>
        <w:rPr>
          <w:b/>
          <w:color w:val="005DA4"/>
        </w:rPr>
      </w:pPr>
    </w:p>
    <w:p w:rsidRPr="004E1699" w:rsidR="0010766F" w:rsidP="00993934" w:rsidRDefault="0010766F" w14:paraId="22479FE6" w14:textId="5A1B18ED">
      <w:pPr>
        <w:spacing w:after="200"/>
      </w:pPr>
      <w:r w:rsidRPr="004E1699">
        <w:t>Em 27 de setembro de 2019, a Comissão Europeia adotou uma recomendação para uma decisão do Conselho no sentido de autorizar a abertura de negociações tendo em vista um acordo entre a União Europeia e o Japão para a transferência e utilização dos registos de identificação dos passageiros (PNR) para fins de prevenção e luta contra o terrorismo e outros crimes transnacionais graves. O objetivo do acordo previsto é estabelecer a base jurídica e as condições em que as transportadoras aéreas serão autorizadas a transferir para o Japão os dados PNR dos passageiros dos voos entre a UE e o Japão, em conformidade com os requisitos da legislação da UE, incluindo a Carta dos Direitos Fundamentais da UE.</w:t>
      </w:r>
    </w:p>
    <w:p w:rsidRPr="004E1699" w:rsidR="00303072" w:rsidP="00993934" w:rsidRDefault="00303072" w14:paraId="75FC61D9" w14:textId="556B0E90">
      <w:pPr>
        <w:spacing w:after="200"/>
      </w:pPr>
      <w:r w:rsidRPr="004E1699">
        <w:t>A AEPD congratula-se com o facto de o mandato de negociação ter por objetivo assegurar o pleno respeito dos direitos e liberdades fundamentais consagrados nos artigos 7.º e 8.º da Carta dos Direitos Fundamentais da UE, bem como dos princípios da necessidade e da proporcionalidade, tal como interpretados pelo Tribunal de Justiça no seu Parecer 1/15 sobre o Acordo PNR UE-Canadá.</w:t>
      </w:r>
    </w:p>
    <w:p w:rsidRPr="004E1699" w:rsidR="0010766F" w:rsidP="00993934" w:rsidRDefault="00FC1F8F" w14:paraId="67D55334" w14:textId="3CE3783A">
      <w:pPr>
        <w:spacing w:after="200"/>
      </w:pPr>
      <w:r w:rsidRPr="004E1699">
        <w:t>Tendo em conta o impacto do acordo previsto sobre os direitos fundamentais de um grande número de pessoas não implicadas numa atividade criminosa, a AEPD considera que o acordo deve conter todas as salvaguardas substantivas e processuais necessárias para garantir a proporcionalidade do sistema PNR e limitar a interferência com o direito à privacidade e à proteção de dados apenas ao estritamente necessário e justificado pelo interesse geral da União. Para o efeito, a AEPD formula um certo número de recomendações destinadas a melhorar as diretrizes de negociação, tais como:</w:t>
      </w:r>
    </w:p>
    <w:p w:rsidRPr="004E1699" w:rsidR="00303072" w:rsidP="00993934" w:rsidRDefault="00303072" w14:paraId="7353752B" w14:textId="46C0C7A7">
      <w:pPr>
        <w:pStyle w:val="ListParagraph"/>
        <w:numPr>
          <w:ilvl w:val="0"/>
          <w:numId w:val="22"/>
        </w:numPr>
      </w:pPr>
      <w:r w:rsidRPr="004E1699">
        <w:t>uma abordagem rigorosa em relação à necessidade e à proporcionalidade do sistema PNR;</w:t>
      </w:r>
    </w:p>
    <w:p w:rsidRPr="004E1699" w:rsidR="00F5794D" w:rsidP="00993934" w:rsidRDefault="00303072" w14:paraId="78BEFD50" w14:textId="07DBD786">
      <w:pPr>
        <w:pStyle w:val="ListParagraph"/>
        <w:numPr>
          <w:ilvl w:val="0"/>
          <w:numId w:val="22"/>
        </w:numPr>
      </w:pPr>
      <w:r w:rsidRPr="004E1699">
        <w:t>em conformidade com o princípio da limitação da finalidade, qualquer posterior utilização para outros fins dos dados PNR transferidos deve ser muito bem justificada, especificada de forma clara e precisa e limitada ao estritamente necessário;</w:t>
      </w:r>
    </w:p>
    <w:p w:rsidRPr="004E1699" w:rsidR="00303072" w:rsidP="00993934" w:rsidRDefault="00303072" w14:paraId="30AE3CA2" w14:textId="08E13F22">
      <w:pPr>
        <w:pStyle w:val="ListParagraph"/>
        <w:numPr>
          <w:ilvl w:val="0"/>
          <w:numId w:val="22"/>
        </w:numPr>
      </w:pPr>
      <w:r w:rsidRPr="004E1699">
        <w:t xml:space="preserve">a decisão do Conselho que autoriza a abertura de negociações deve incluir uma referência não só à base jurídica </w:t>
      </w:r>
      <w:proofErr w:type="gramStart"/>
      <w:r w:rsidRPr="004E1699">
        <w:t>processual</w:t>
      </w:r>
      <w:proofErr w:type="gramEnd"/>
      <w:r w:rsidRPr="004E1699">
        <w:t xml:space="preserve"> mas também à base jurídica substantiva, incluindo o artigo 16.º do TFUE;</w:t>
      </w:r>
    </w:p>
    <w:p w:rsidRPr="004E1699" w:rsidR="00F5794D" w:rsidP="00993934" w:rsidRDefault="00303072" w14:paraId="5208CF56" w14:textId="6CE040D8">
      <w:pPr>
        <w:pStyle w:val="ListParagraph"/>
        <w:numPr>
          <w:ilvl w:val="0"/>
          <w:numId w:val="22"/>
        </w:numPr>
      </w:pPr>
      <w:r w:rsidRPr="004E1699">
        <w:t xml:space="preserve">deve ser dada especial atenção à prevenção do risco de revelar indiretamente categorias especiais de dados sobre os passageiros aéreos, bem como ao risco de </w:t>
      </w:r>
      <w:proofErr w:type="spellStart"/>
      <w:r w:rsidRPr="004E1699">
        <w:t>reidentificação</w:t>
      </w:r>
      <w:proofErr w:type="spellEnd"/>
      <w:r w:rsidRPr="004E1699">
        <w:t xml:space="preserve"> de pessoas após a anonimização dos dados PNR que lhes dizem respeito;</w:t>
      </w:r>
    </w:p>
    <w:p w:rsidRPr="004E1699" w:rsidR="009A64EB" w:rsidP="00993934" w:rsidRDefault="009A64EB" w14:paraId="3706F806" w14:textId="327024A2">
      <w:pPr>
        <w:pStyle w:val="ListParagraph"/>
        <w:numPr>
          <w:ilvl w:val="0"/>
          <w:numId w:val="22"/>
        </w:numPr>
        <w:spacing w:after="200"/>
      </w:pPr>
      <w:r w:rsidRPr="004E1699">
        <w:t>o acordo previsto deverá conter cláusulas que permitam a sua suspensão em caso de incumprimento das suas regras, bem como a cessação do acordo, se o incumprimento for grave e persistente.</w:t>
      </w:r>
    </w:p>
    <w:p w:rsidRPr="004E1699" w:rsidR="0010766F" w:rsidP="00993934" w:rsidRDefault="0010766F" w14:paraId="2165D998" w14:textId="3B8E35C4">
      <w:pPr>
        <w:spacing w:after="200"/>
      </w:pPr>
      <w:r w:rsidRPr="004E1699">
        <w:t>A AEPD apresenta recomendações mais pormenorizadas no presente parecer.</w:t>
      </w:r>
    </w:p>
    <w:p w:rsidRPr="004E1699" w:rsidR="006031EC" w:rsidP="004E1699" w:rsidRDefault="0010766F" w14:paraId="698D4805" w14:textId="23EED3BA">
      <w:pPr>
        <w:spacing w:after="200"/>
      </w:pPr>
      <w:r w:rsidRPr="004E1699">
        <w:t>A AEPD permanece à disposição das instituições para prestar aconselhamento adicional durante as negociações. A AEPD espera igualmente ser consultada em fases posteriores da finalização do projeto de acordo, em conformidade com o artigo 42.º do Regulamento (UE) 2018/1725.</w:t>
      </w:r>
      <w:r w:rsidRPr="004E1699" w:rsidR="006031EC">
        <w:br w:type="page"/>
      </w:r>
    </w:p>
    <w:p w:rsidRPr="004E1699" w:rsidR="002B4019" w:rsidP="00993934" w:rsidRDefault="006A20B1" w14:paraId="7E3E9A85" w14:textId="25B99B66">
      <w:pPr>
        <w:pStyle w:val="Heading1"/>
        <w:keepLines/>
        <w:numPr>
          <w:ilvl w:val="0"/>
          <w:numId w:val="2"/>
        </w:numPr>
        <w:spacing w:after="200"/>
        <w:jc w:val="both"/>
        <w:rPr>
          <w:sz w:val="32"/>
          <w:szCs w:val="32"/>
        </w:rPr>
      </w:pPr>
      <w:bookmarkStart w:name="_Toc425509692" w:id="0"/>
      <w:r w:rsidRPr="004E1699">
        <w:rPr>
          <w:sz w:val="32"/>
          <w:szCs w:val="32"/>
        </w:rPr>
        <w:lastRenderedPageBreak/>
        <w:tab/>
      </w:r>
      <w:bookmarkStart w:name="_Toc22124185" w:id="1"/>
      <w:r w:rsidRPr="004E1699">
        <w:rPr>
          <w:sz w:val="32"/>
          <w:szCs w:val="32"/>
        </w:rPr>
        <w:t>INTRODUÇÃO E CONTEXTO</w:t>
      </w:r>
      <w:bookmarkEnd w:id="1"/>
    </w:p>
    <w:p w:rsidRPr="004E1699" w:rsidR="009F5880" w:rsidP="00EA1EA1" w:rsidRDefault="00040910" w14:paraId="2EE4956E" w14:textId="77777777">
      <w:pPr>
        <w:pStyle w:val="ListParagraph"/>
        <w:numPr>
          <w:ilvl w:val="0"/>
          <w:numId w:val="11"/>
        </w:numPr>
        <w:spacing w:after="240"/>
      </w:pPr>
      <w:r w:rsidRPr="004E1699">
        <w:t xml:space="preserve">Em 27 de setembro de 2019, a Comissão Europeia adotou uma recomendação para uma decisão do Conselho no sentido de autorizar a abertura de negociações tendo em vista um acordo entre a União Europeia (UE) e o Japão para a transferência e utilização dos registos de identificação dos passageiros (PNR) para fins de prevenção e luta contra o terrorismo e outros crimes transnacionais graves. O anexo à recomendação (doravante, «anexo») estabelece as diretrizes de negociação do Conselho dirigidas à Comissão, </w:t>
      </w:r>
      <w:r w:rsidRPr="004E1699">
        <w:rPr>
          <w:i/>
        </w:rPr>
        <w:t>ou seja,</w:t>
      </w:r>
      <w:r w:rsidRPr="004E1699">
        <w:t xml:space="preserve"> os objetivos que esta deve procurar alcançar em nome da UE no decurso das negociações.</w:t>
      </w:r>
    </w:p>
    <w:p w:rsidRPr="004E1699" w:rsidR="00EA1EA1" w:rsidP="00EA1EA1" w:rsidRDefault="00EA1EA1" w14:paraId="12455888" w14:textId="77777777">
      <w:pPr>
        <w:pStyle w:val="ListParagraph"/>
        <w:spacing w:after="240"/>
        <w:ind w:left="360"/>
      </w:pPr>
    </w:p>
    <w:p w:rsidRPr="004E1699" w:rsidR="006405EF" w:rsidP="00EA1EA1" w:rsidRDefault="009A3AD5" w14:paraId="09621C65" w14:textId="77777777">
      <w:pPr>
        <w:pStyle w:val="ListParagraph"/>
        <w:numPr>
          <w:ilvl w:val="0"/>
          <w:numId w:val="11"/>
        </w:numPr>
        <w:spacing w:after="200"/>
      </w:pPr>
      <w:r w:rsidRPr="004E1699">
        <w:t>A recomendação foi adotada com base no procedimento previsto no artigo 218.º do Tratado sobre o Funcionamento da União Europeia (TFUE) para os acordos celebrados entre a UE e países terceiros. Com esta recomendação, a Comissão procura obter a autorização do Conselho para ser designada como negociador, em nome da UE, e para dar início às negociações com o Japão, em conformidade com o mandato de negociação. Uma vez concluídas as negociações, para que o acordo possa ser celebrado o Parlamento Europeu terá de aprovar o texto do acordo negociado, após o que o Conselho terá de adotar uma decisão de celebração do acordo.</w:t>
      </w:r>
    </w:p>
    <w:p w:rsidRPr="004E1699" w:rsidR="00EA1EA1" w:rsidP="00EA1EA1" w:rsidRDefault="00EA1EA1" w14:paraId="13E81102" w14:textId="77777777">
      <w:pPr>
        <w:pStyle w:val="ListParagraph"/>
        <w:spacing w:after="200"/>
        <w:ind w:left="360"/>
      </w:pPr>
    </w:p>
    <w:p w:rsidRPr="004E1699" w:rsidR="002B4019" w:rsidP="002B4019" w:rsidRDefault="002B4019" w14:paraId="2E5EB1F7" w14:textId="5F10BE0D">
      <w:pPr>
        <w:numPr>
          <w:ilvl w:val="0"/>
          <w:numId w:val="11"/>
        </w:numPr>
        <w:spacing w:after="200"/>
      </w:pPr>
      <w:r w:rsidRPr="004E1699">
        <w:t>O quadro jurídico para o tratamento de dados PNR na UE é a Diretiva (UE) 2016/681 do Parlamento Europeu e do Conselho, de 27 de abril de 2016, relativa à utilização dos dados dos registos de identificação dos passageiros (PNR) para efeitos de prevenção, deteção, investigação e repressão das infrações terroristas e da criminalidade grave (Diretiva PNR). Os Estados-Membros foram obrigados a pôr em vigor as disposições legislativas, regulamentares e administrativas necessárias para dar cumprimento à Diretiva até 25 de maio de 2018. A Comissão Europeia tem de realizar a primeira revisão da Diretiva PNR até 25 de maio de 2020.</w:t>
      </w:r>
    </w:p>
    <w:p w:rsidRPr="004E1699" w:rsidR="002B4019" w:rsidP="002B4019" w:rsidRDefault="002B4019" w14:paraId="3F092345" w14:textId="6A150440">
      <w:pPr>
        <w:numPr>
          <w:ilvl w:val="0"/>
          <w:numId w:val="11"/>
        </w:numPr>
        <w:spacing w:after="200"/>
      </w:pPr>
      <w:r w:rsidRPr="004E1699">
        <w:t>Atualmente, estão em vigor dois acordos internacionais entre a UE e países terceiros sobre o tratamento e a transferência de dados PNR – com a Austrália</w:t>
      </w:r>
      <w:r w:rsidRPr="004E1699">
        <w:rPr>
          <w:vertAlign w:val="superscript"/>
        </w:rPr>
        <w:endnoteReference w:id="1"/>
      </w:r>
      <w:r w:rsidRPr="004E1699">
        <w:t xml:space="preserve"> e com os Estados Unidos</w:t>
      </w:r>
      <w:r w:rsidRPr="004E1699">
        <w:rPr>
          <w:vertAlign w:val="superscript"/>
        </w:rPr>
        <w:endnoteReference w:id="2"/>
      </w:r>
      <w:r w:rsidRPr="004E1699">
        <w:t>, ambos desde 2011. A pedido do Parlamento Europeu, nos termos do artigo 218.º, n.º 11, do TFUE, o Tribunal de Justiça da UE (TJUE) adotou o Parecer 1/15, de 26 de julho de 2017</w:t>
      </w:r>
      <w:r w:rsidRPr="004E1699">
        <w:rPr>
          <w:vertAlign w:val="superscript"/>
        </w:rPr>
        <w:endnoteReference w:id="3"/>
      </w:r>
      <w:r w:rsidRPr="004E1699">
        <w:t>, sobre o acordo previsto entre a UE e o Canadá sobre a transferência e o tratamento de dados PNR, assinado em 25 de junho de 2014. O Tribunal de Justiça concluiu que o acordo é incompatível com os artigos 7.º, 8.º e 21.º e com o artigo 52.º, n.º 1, da Carta dos Direitos Fundamentais da UE (Carta), na medida em que não exclui a transferência de dados sensíveis da UE para o Canadá e a utilização e conservação desses dados. Além disso, o Tribunal de Justiça estabeleceu uma série de condições e salvaguardas para o tratamento e transferência lícitos de dados PNR. Com base no Parecer 1/15, foram iniciadas novas negociações PNR com o Canadá em junho de 2018, as quais, segundo a Comissão, se encontram na fase final.</w:t>
      </w:r>
    </w:p>
    <w:p w:rsidRPr="004E1699" w:rsidR="002B4019" w:rsidP="002B4019" w:rsidRDefault="002B4019" w14:paraId="3BCB6E76" w14:textId="64566B27">
      <w:pPr>
        <w:numPr>
          <w:ilvl w:val="0"/>
          <w:numId w:val="11"/>
        </w:numPr>
        <w:spacing w:after="200"/>
      </w:pPr>
      <w:r w:rsidRPr="004E1699">
        <w:t xml:space="preserve">A nível mundial, a questão dos dados PNR é tratada pela Convenção sobre a Aviação Civil Internacional («Convenção de Chicago») de 1947, que regulamenta o transporte aéreo internacional e que estabeleceu a Organização da Aviação Civil Internacional (OACI). O Conselho da OACI adotou normas e práticas recomendadas em matéria de PNR, que fazem parte do anexo 9 («Facilitação») da Convenção de Chicago. Estas são complementadas por orientações adicionais, nomeadamente o documento 9944 da OACI que estabelece </w:t>
      </w:r>
      <w:r w:rsidRPr="004E1699">
        <w:lastRenderedPageBreak/>
        <w:t>«Orientações relativas aos dados dos registos de identificação dos passageiros (PNR)»</w:t>
      </w:r>
      <w:r w:rsidRPr="004E1699">
        <w:rPr>
          <w:vertAlign w:val="superscript"/>
        </w:rPr>
        <w:endnoteReference w:id="4"/>
      </w:r>
      <w:r w:rsidRPr="004E1699">
        <w:t>. Todos os Estados-Membros da UE são Partes na Convenção de Chicago.</w:t>
      </w:r>
    </w:p>
    <w:p w:rsidRPr="004E1699" w:rsidR="002B4019" w:rsidP="002B4019" w:rsidRDefault="002B4019" w14:paraId="2F2B7C49" w14:textId="6025F76D">
      <w:pPr>
        <w:numPr>
          <w:ilvl w:val="0"/>
          <w:numId w:val="11"/>
        </w:numPr>
        <w:spacing w:after="200"/>
      </w:pPr>
      <w:r w:rsidRPr="004E1699">
        <w:t>A acrescer, a Resolução 2396 do Conselho de Segurança das Nações Unidas (2017) sobre as ameaças à paz e à segurança internacionais causadas pelo regresso de combatentes terroristas estrangeiros, adotada em 21 de dezembro de 2017, exige que, de acordo com as normas e práticas recomendadas da OACI, os Estados membros das ONU «</w:t>
      </w:r>
      <w:r w:rsidRPr="004E1699">
        <w:rPr>
          <w:i/>
        </w:rPr>
        <w:t>desenvolvam a capacidade de reunir, processar e analisar os dados do registo de nomes dos passageiros (PNR) e assegurem que todas as suas autoridades nacionais competentes utilizem e compartilhem esses dados, respeitando plenamente os direitos humanos e as liberdades fundamentais»</w:t>
      </w:r>
      <w:r w:rsidRPr="004E1699">
        <w:t xml:space="preserve">, bem como </w:t>
      </w:r>
      <w:r w:rsidRPr="004E1699">
        <w:rPr>
          <w:i/>
        </w:rPr>
        <w:t>«se for caso disso, encoraja os Estados membros a partilharem os dados PNR com os Estados membros relevantes ou interessados, para deteção de combatentes terroristas estrangeiros»</w:t>
      </w:r>
      <w:r w:rsidRPr="004E1699">
        <w:rPr>
          <w:vertAlign w:val="superscript"/>
        </w:rPr>
        <w:endnoteReference w:id="5"/>
      </w:r>
      <w:r w:rsidRPr="004E1699">
        <w:t>.</w:t>
      </w:r>
    </w:p>
    <w:p w:rsidRPr="004E1699" w:rsidR="00875FA8" w:rsidP="00A06782" w:rsidRDefault="00875FA8" w14:paraId="138A6904" w14:textId="59B17399">
      <w:pPr>
        <w:numPr>
          <w:ilvl w:val="0"/>
          <w:numId w:val="11"/>
        </w:numPr>
      </w:pPr>
      <w:r w:rsidRPr="004E1699">
        <w:t>A AEPD congratula-se com o facto de ter sido consultada na sequência da adoção da recomendação pela Comissão Europeia e espera que seja incluída uma referência ao presente parecer no preâmbulo da decisão do Conselho. O presente parecer não prejudica quaisquer comentários adicionais que a AEPD possa vir a apresentar com base em informações suplementares disponíveis numa fase posterior.</w:t>
      </w:r>
    </w:p>
    <w:p w:rsidRPr="004E1699" w:rsidR="00A06782" w:rsidP="00A06782" w:rsidRDefault="00A06782" w14:paraId="05B42449" w14:textId="652B1DE7">
      <w:pPr>
        <w:spacing w:after="200"/>
        <w:ind w:left="360"/>
      </w:pPr>
    </w:p>
    <w:p w:rsidRPr="004E1699" w:rsidR="00E515CF" w:rsidP="00E515CF" w:rsidRDefault="00E515CF" w14:paraId="6FD3076F" w14:textId="3C478248">
      <w:pPr>
        <w:pStyle w:val="Heading1"/>
        <w:keepLines/>
        <w:numPr>
          <w:ilvl w:val="0"/>
          <w:numId w:val="26"/>
        </w:numPr>
        <w:spacing w:after="200"/>
        <w:ind w:hanging="76"/>
        <w:jc w:val="both"/>
        <w:rPr>
          <w:sz w:val="32"/>
          <w:szCs w:val="32"/>
        </w:rPr>
      </w:pPr>
      <w:r w:rsidRPr="004E1699">
        <w:rPr>
          <w:sz w:val="32"/>
          <w:szCs w:val="32"/>
        </w:rPr>
        <w:t>CONCLUSÕES</w:t>
      </w:r>
    </w:p>
    <w:p w:rsidRPr="004E1699" w:rsidR="005F637D" w:rsidP="00993934" w:rsidRDefault="00E63C0D" w14:paraId="0082D7B4" w14:textId="5E735E7E">
      <w:pPr>
        <w:pStyle w:val="ListParagraph"/>
        <w:numPr>
          <w:ilvl w:val="0"/>
          <w:numId w:val="24"/>
        </w:numPr>
        <w:spacing w:after="120"/>
      </w:pPr>
      <w:r w:rsidRPr="004E1699">
        <w:t>A AEPD congratula-se com o facto de o mandato de negociação ter por objetivo assegurar o pleno respeito dos direitos e liberdades fundamentais consagrados nos artigos 7.º e 8.º da Carta, bem como dos princípios da necessidade e da proporcionalidade, tal como interpretados pelo TJUE no seu Parecer 1/15 sobre o Acordo PNR UE-Canadá.</w:t>
      </w:r>
    </w:p>
    <w:p w:rsidRPr="004E1699" w:rsidR="009E77F4" w:rsidP="005F637D" w:rsidRDefault="009E77F4" w14:paraId="3699D3B5" w14:textId="07AC94CB">
      <w:pPr>
        <w:pStyle w:val="ListParagraph"/>
        <w:spacing w:after="120"/>
        <w:ind w:left="360"/>
      </w:pPr>
    </w:p>
    <w:p w:rsidRPr="004E1699" w:rsidR="005F637D" w:rsidP="00993934" w:rsidRDefault="000E427E" w14:paraId="4138C65E" w14:textId="02D4EBEB">
      <w:pPr>
        <w:pStyle w:val="ListParagraph"/>
        <w:numPr>
          <w:ilvl w:val="0"/>
          <w:numId w:val="24"/>
        </w:numPr>
        <w:spacing w:after="120"/>
      </w:pPr>
      <w:r w:rsidRPr="004E1699">
        <w:t>Tendo em conta o impacto do acordo previsto sobre os direitos fundamentais de um grande número de pessoas não implicadas numa atividade criminosa, a AEPD considera que o futuro acordo deve conter todas as salvaguardas substantivas e processuais necessárias, que, consideradas na sua totalidade, garantirão a proporcionalidade do sistema PNR e limitarão a interferência com o direito à privacidade e à proteção de dados apenas ao estritamente necessário e justificado pelo interesse geral da UE.</w:t>
      </w:r>
    </w:p>
    <w:p w:rsidRPr="004E1699" w:rsidR="00EE75CB" w:rsidP="00EE75CB" w:rsidRDefault="00EE75CB" w14:paraId="4D3B5E2E" w14:textId="77777777">
      <w:pPr>
        <w:pStyle w:val="ListParagraph"/>
        <w:spacing w:after="120"/>
        <w:ind w:left="360"/>
      </w:pPr>
    </w:p>
    <w:p w:rsidRPr="004E1699" w:rsidR="001D74A9" w:rsidP="00993934" w:rsidRDefault="002647CC" w14:paraId="3A1EDF30" w14:textId="0F0AA6B5">
      <w:pPr>
        <w:pStyle w:val="ListParagraph"/>
        <w:numPr>
          <w:ilvl w:val="0"/>
          <w:numId w:val="24"/>
        </w:numPr>
        <w:spacing w:after="120"/>
      </w:pPr>
      <w:r w:rsidRPr="004E1699">
        <w:t>Para o efeito, como recomendação principal, a AEPD salienta a necessidade de uma abordagem rigorosa no que se refere à necessidade e à proporcionalidade do sistema PNR. Além disso, deve ser dada especial atenção à aplicação prática do princípio da limitação da finalidade no que se refere à utilização dos dados PNR transferidos. Adicionalmente, a AEPD reitera a sua posição nos seus pareceres anteriores</w:t>
      </w:r>
      <w:r w:rsidRPr="004E1699" w:rsidR="000C2F0E">
        <w:rPr>
          <w:rStyle w:val="EndnoteReference"/>
        </w:rPr>
        <w:endnoteReference w:id="6"/>
      </w:r>
      <w:r w:rsidRPr="004E1699">
        <w:t xml:space="preserve"> de que a decisão do Conselho que autoriza a abertura de negociações nos termos do artigo 218.º do TFUE deve conter uma referência não só à base jurídica processual mas também à base jurídica substantiva pertinente, que deve incluir o artigo 16.º do TFUE.</w:t>
      </w:r>
    </w:p>
    <w:p w:rsidRPr="004E1699" w:rsidR="005F637D" w:rsidP="005F637D" w:rsidRDefault="005F637D" w14:paraId="4D650283" w14:textId="77777777">
      <w:pPr>
        <w:pStyle w:val="ListParagraph"/>
        <w:spacing w:after="120"/>
        <w:ind w:left="360"/>
      </w:pPr>
    </w:p>
    <w:p w:rsidRPr="004E1699" w:rsidR="00E63C0D" w:rsidP="00993934" w:rsidRDefault="00C94068" w14:paraId="371E3FC5" w14:textId="2869A23D">
      <w:pPr>
        <w:pStyle w:val="ListParagraph"/>
        <w:numPr>
          <w:ilvl w:val="0"/>
          <w:numId w:val="24"/>
        </w:numPr>
        <w:spacing w:after="120"/>
      </w:pPr>
      <w:r w:rsidRPr="004E1699">
        <w:t xml:space="preserve">As recomendações adicionais da AEPD contidas no presente parecer referem-se ao quadro jurídico adequado para a transferência de dados pessoais operacionais, à necessidade de evitar o risco de revelar indiretamente categorias especiais de dados sobre passageiros aéreos, bem como ao risco de </w:t>
      </w:r>
      <w:proofErr w:type="spellStart"/>
      <w:r w:rsidRPr="004E1699">
        <w:t>reidentificação</w:t>
      </w:r>
      <w:proofErr w:type="spellEnd"/>
      <w:r w:rsidRPr="004E1699">
        <w:t xml:space="preserve"> de pessoas após a anonimização de dados PNR que lhes dizem respeito. A AEPD sublinha também a necessidade de clarificar a supervisão independente do tratamento de dados PNR pelas autoridades japonesas </w:t>
      </w:r>
      <w:r w:rsidRPr="004E1699">
        <w:lastRenderedPageBreak/>
        <w:t>competentes, que é uma das garantias essenciais do direito à proteção de dados. Além disso, a AEPD recomenda a introdução de cláusulas que permitam a suspensão do futuro acordo em caso de violação das suas disposições, bem como a cessação do acordo, se o incumprimento for grave e persistente.</w:t>
      </w:r>
    </w:p>
    <w:p w:rsidRPr="004E1699" w:rsidR="005F637D" w:rsidP="005F637D" w:rsidRDefault="005F637D" w14:paraId="1E813CCA" w14:textId="77777777">
      <w:pPr>
        <w:pStyle w:val="ListParagraph"/>
        <w:spacing w:after="120"/>
        <w:ind w:left="360"/>
      </w:pPr>
    </w:p>
    <w:p w:rsidRPr="004E1699" w:rsidR="00E63C0D" w:rsidP="00993934" w:rsidRDefault="00036309" w14:paraId="5F05CB27" w14:textId="4BEF0729">
      <w:pPr>
        <w:pStyle w:val="ListParagraph"/>
        <w:numPr>
          <w:ilvl w:val="0"/>
          <w:numId w:val="24"/>
        </w:numPr>
        <w:spacing w:after="120"/>
      </w:pPr>
      <w:r w:rsidRPr="004E1699">
        <w:t>A AEPD permanece à disposição da Comissão, do Conselho e do Parlamento Europeu para prestar aconselhamento em fases posteriores deste processo. Os comentários formulados no presente parecer não prejudicam quaisquer comentários adicionais que a AEPD possa vir a apresentar, uma vez que poderão surgir outras questões, que serão abordadas logo que estejam disponíveis mais informações. Para este efeito, a AEPD espera ser consultada em momento posterior sobre as disposições do projeto de acordo antes da sua finalização.</w:t>
      </w:r>
    </w:p>
    <w:p w:rsidRPr="004E1699" w:rsidR="00F92ABA" w:rsidP="000752FA" w:rsidRDefault="00F92ABA" w14:paraId="7C4F72BA" w14:textId="77777777">
      <w:pPr>
        <w:spacing w:after="120"/>
      </w:pPr>
    </w:p>
    <w:p w:rsidRPr="004E1699" w:rsidR="00486C67" w:rsidP="000752FA" w:rsidRDefault="00486C67" w14:paraId="0EF1486D" w14:textId="40D74E7B">
      <w:pPr>
        <w:spacing w:after="120"/>
      </w:pPr>
      <w:r w:rsidRPr="004E1699">
        <w:t>Bruxelas, 25 de outubro de 2019</w:t>
      </w:r>
    </w:p>
    <w:p w:rsidRPr="004E1699" w:rsidR="00213E0C" w:rsidP="000752FA" w:rsidRDefault="00213E0C" w14:paraId="79AD5AB7" w14:textId="713345AF">
      <w:pPr>
        <w:spacing w:after="120"/>
        <w:rPr>
          <w:lang w:val="pl-PL"/>
        </w:rPr>
      </w:pPr>
    </w:p>
    <w:p w:rsidRPr="004E1699" w:rsidR="00213E0C" w:rsidP="000752FA" w:rsidRDefault="00213E0C" w14:paraId="57054E86" w14:textId="24C312FF">
      <w:pPr>
        <w:spacing w:after="120"/>
        <w:rPr>
          <w:lang w:val="pl-PL"/>
        </w:rPr>
      </w:pPr>
    </w:p>
    <w:p w:rsidRPr="004E1699" w:rsidR="00213E0C" w:rsidP="000752FA" w:rsidRDefault="00213E0C" w14:paraId="6ABC9993" w14:textId="4E695C25">
      <w:pPr>
        <w:spacing w:after="120"/>
        <w:rPr>
          <w:lang w:val="pl-PL"/>
        </w:rPr>
      </w:pPr>
    </w:p>
    <w:p w:rsidRPr="004E1699" w:rsidR="00213E0C" w:rsidP="000752FA" w:rsidRDefault="00213E0C" w14:paraId="3B00E25D" w14:textId="77777777">
      <w:pPr>
        <w:spacing w:after="120"/>
        <w:rPr>
          <w:lang w:val="pl-PL"/>
        </w:rPr>
      </w:pPr>
    </w:p>
    <w:bookmarkEnd w:id="0"/>
    <w:p w:rsidRPr="004E1699" w:rsidR="00F92ABA" w:rsidRDefault="00EA1EA1" w14:paraId="59744501" w14:textId="77777777">
      <w:pPr>
        <w:jc w:val="left"/>
        <w:rPr>
          <w:rFonts w:eastAsia="Adobe Gothic Std B"/>
          <w:b/>
          <w:bCs/>
          <w:color w:val="005DA4"/>
          <w:kern w:val="32"/>
          <w:sz w:val="32"/>
          <w:szCs w:val="32"/>
        </w:rPr>
      </w:pPr>
      <w:proofErr w:type="spellStart"/>
      <w:r w:rsidRPr="004E1699">
        <w:t>Wojciech</w:t>
      </w:r>
      <w:proofErr w:type="spellEnd"/>
      <w:r w:rsidRPr="004E1699">
        <w:t xml:space="preserve"> </w:t>
      </w:r>
      <w:proofErr w:type="spellStart"/>
      <w:r w:rsidRPr="004E1699">
        <w:t>Rafał</w:t>
      </w:r>
      <w:proofErr w:type="spellEnd"/>
      <w:r w:rsidRPr="004E1699">
        <w:t xml:space="preserve"> WIEWIÓROWSKI </w:t>
      </w:r>
      <w:r w:rsidRPr="004E1699">
        <w:br w:type="page"/>
      </w:r>
    </w:p>
    <w:p w:rsidRPr="004E1699" w:rsidR="00F92ABA" w:rsidP="00F92ABA" w:rsidRDefault="00F92ABA" w14:paraId="5C88152C" w14:textId="77777777">
      <w:pPr>
        <w:pStyle w:val="Heading1"/>
        <w:numPr>
          <w:ilvl w:val="0"/>
          <w:numId w:val="0"/>
        </w:numPr>
        <w:rPr>
          <w:sz w:val="32"/>
          <w:szCs w:val="32"/>
        </w:rPr>
      </w:pPr>
      <w:bookmarkStart w:name="_Toc435701394" w:id="3"/>
      <w:bookmarkStart w:name="_Toc22124204" w:id="4"/>
      <w:r w:rsidRPr="004E1699">
        <w:rPr>
          <w:sz w:val="32"/>
          <w:szCs w:val="32"/>
        </w:rPr>
        <w:lastRenderedPageBreak/>
        <w:t>Notas</w:t>
      </w:r>
      <w:bookmarkEnd w:id="3"/>
      <w:bookmarkEnd w:id="4"/>
    </w:p>
    <w:sectPr w:rsidRPr="004E1699" w:rsidR="00F92ABA" w:rsidSect="00D065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40" w:right="1440" w:bottom="1560" w:left="1440" w:header="709" w:footer="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580D" w14:textId="77777777" w:rsidR="000D73F7" w:rsidRDefault="000D73F7" w:rsidP="00EE2109">
      <w:r>
        <w:separator/>
      </w:r>
    </w:p>
  </w:endnote>
  <w:endnote w:type="continuationSeparator" w:id="0">
    <w:p w14:paraId="34A62AF1" w14:textId="77777777" w:rsidR="000D73F7" w:rsidRDefault="000D73F7" w:rsidP="00EE2109">
      <w:r>
        <w:continuationSeparator/>
      </w:r>
    </w:p>
  </w:endnote>
  <w:endnote w:id="1">
    <w:p w14:paraId="2023D359" w14:textId="77777777" w:rsidR="002B4019" w:rsidRPr="004E1699" w:rsidRDefault="002B4019" w:rsidP="00617099">
      <w:pPr>
        <w:pStyle w:val="Style1"/>
      </w:pPr>
      <w:bookmarkStart w:id="2" w:name="_GoBack"/>
      <w:r w:rsidRPr="004E1699">
        <w:rPr>
          <w:rStyle w:val="EndnoteReference"/>
        </w:rPr>
        <w:endnoteRef/>
      </w:r>
      <w:r w:rsidRPr="004E1699">
        <w:t xml:space="preserve"> JO L 186 de 14.7.2012, pp. 4-16.</w:t>
      </w:r>
    </w:p>
  </w:endnote>
  <w:endnote w:id="2">
    <w:p w14:paraId="196FCF4E" w14:textId="77777777" w:rsidR="002B4019" w:rsidRPr="004E1699" w:rsidRDefault="002B4019" w:rsidP="00617099">
      <w:pPr>
        <w:pStyle w:val="Style1"/>
      </w:pPr>
      <w:r w:rsidRPr="004E1699">
        <w:rPr>
          <w:rStyle w:val="EndnoteReference"/>
        </w:rPr>
        <w:endnoteRef/>
      </w:r>
      <w:r w:rsidRPr="004E1699">
        <w:t xml:space="preserve"> JO L 215 de 11.8.2012, pp. 5-14.</w:t>
      </w:r>
    </w:p>
  </w:endnote>
  <w:endnote w:id="3">
    <w:p w14:paraId="7170B23C" w14:textId="497E06AD" w:rsidR="002B4019" w:rsidRPr="004E1699" w:rsidRDefault="002B4019" w:rsidP="00617099">
      <w:pPr>
        <w:pStyle w:val="Style1"/>
      </w:pPr>
      <w:r w:rsidRPr="004E1699">
        <w:rPr>
          <w:rStyle w:val="EndnoteReference"/>
        </w:rPr>
        <w:endnoteRef/>
      </w:r>
      <w:r w:rsidRPr="004E1699">
        <w:t xml:space="preserve"> Parecer 1/15 do Tribunal de Justiça, de 26 de julho de 2017, nos termos do artigo 218.º, n.º 11, do TFUE, sobre o projeto de acordo entre o Canadá e a UE relativo à transferência e ao tratamento de dados PNR, ECLI:EU:C:2017:592.</w:t>
      </w:r>
    </w:p>
  </w:endnote>
  <w:endnote w:id="4">
    <w:p w14:paraId="0B728BE8" w14:textId="77777777" w:rsidR="002B4019" w:rsidRPr="004E1699" w:rsidRDefault="002B4019" w:rsidP="00617099">
      <w:pPr>
        <w:pStyle w:val="Style1"/>
      </w:pPr>
      <w:r w:rsidRPr="004E1699">
        <w:rPr>
          <w:rStyle w:val="EndnoteReference"/>
        </w:rPr>
        <w:endnoteRef/>
      </w:r>
      <w:r w:rsidRPr="004E1699">
        <w:t xml:space="preserve"> OACI, Doc. 944, Orientações relativas aos dados dos registos de identificação dos passageiros (PNR), Primeira Edição – 2010.</w:t>
      </w:r>
    </w:p>
  </w:endnote>
  <w:endnote w:id="5">
    <w:p w14:paraId="446DEA2B" w14:textId="77777777" w:rsidR="002B4019" w:rsidRPr="004E1699" w:rsidRDefault="002B4019" w:rsidP="00617099">
      <w:pPr>
        <w:pStyle w:val="Style1"/>
      </w:pPr>
      <w:r w:rsidRPr="004E1699">
        <w:rPr>
          <w:rStyle w:val="EndnoteReference"/>
        </w:rPr>
        <w:endnoteRef/>
      </w:r>
      <w:r w:rsidRPr="004E1699">
        <w:t xml:space="preserve"> Resolução 2396 do Conselho de Segurança (2017) sobre as ameaças à paz e à segurança internacionais causadas pelo regresso de combatentes terroristas estrangeiros, adotada pelo Conselho de Segurança na sua 8148.ª reunião, em 21 de dezembro de 2017, ponto 12.</w:t>
      </w:r>
    </w:p>
  </w:endnote>
  <w:endnote w:id="6">
    <w:p w14:paraId="34AF0F9E" w14:textId="2CABBBAA" w:rsidR="000C2F0E" w:rsidRPr="004E1699" w:rsidRDefault="000C2F0E" w:rsidP="00617099">
      <w:pPr>
        <w:pStyle w:val="Style1"/>
      </w:pPr>
      <w:r w:rsidRPr="004E1699">
        <w:rPr>
          <w:rStyle w:val="EndnoteReference"/>
        </w:rPr>
        <w:endnoteRef/>
      </w:r>
      <w:r w:rsidRPr="004E1699">
        <w:t xml:space="preserve"> Ver Parecer 2/2019 da AEPD sobre o mandato de negociação de um acordo UE-EUA sobre o acesso transfronteiras a provas eletrónicas e Parecer 3/2019 da AEPD relativo à participação nas negociações tendo em vista um segundo protocolo adicional à Convenção de Budapeste sobre o Cibercrime, disponíveis em: </w:t>
      </w:r>
      <w:hyperlink r:id="rId1" w:history="1">
        <w:r w:rsidRPr="004E1699">
          <w:rPr>
            <w:rStyle w:val="Hyperlink"/>
          </w:rPr>
          <w:t>https://edps.europa.eu/sites/edp/files/publication/19-04-02_edps_opinion_on_eu_us_agreement_on_e-evidence_en.pdf</w:t>
        </w:r>
      </w:hyperlink>
      <w:r w:rsidRPr="004E1699">
        <w:t xml:space="preserve"> e</w:t>
      </w:r>
    </w:p>
    <w:p w14:paraId="3AF6EE40" w14:textId="6C21E2F5" w:rsidR="000C2F0E" w:rsidRPr="004E1699" w:rsidRDefault="000D73F7" w:rsidP="009600CE">
      <w:pPr>
        <w:pStyle w:val="EndnoteText"/>
        <w:jc w:val="both"/>
        <w:rPr>
          <w:rFonts w:ascii="Times New Roman" w:hAnsi="Times New Roman"/>
        </w:rPr>
      </w:pPr>
      <w:hyperlink r:id="rId2" w:history="1">
        <w:r w:rsidR="00B11FC2" w:rsidRPr="004E1699">
          <w:rPr>
            <w:rStyle w:val="Hyperlink"/>
            <w:rFonts w:ascii="Times New Roman" w:hAnsi="Times New Roman"/>
          </w:rPr>
          <w:t>https://edps.europa.eu/sites/edp/files/publication/19-04-02_edps_opinion_budapest_convention_en.pdf</w:t>
        </w:r>
      </w:hyperlink>
      <w:r w:rsidR="00B11FC2" w:rsidRPr="004E1699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E1699" w:rsidR="004E1699" w:rsidRDefault="004E1699" w14:paraId="5BD900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E1699" w:rsidR="00621B53" w:rsidP="00D065E1" w:rsidRDefault="00621B53" w14:paraId="703AAF17" w14:textId="2137951D">
    <w:pPr>
      <w:pStyle w:val="Footer"/>
      <w:pBdr>
        <w:top w:val="single" w:color="D9D9D9" w:themeColor="background1" w:themeShade="D9" w:sz="4" w:space="1"/>
      </w:pBdr>
      <w:jc w:val="right"/>
      <w:rPr>
        <w:color w:val="808080" w:themeColor="background1" w:themeShade="80"/>
        <w:spacing w:val="60"/>
      </w:rPr>
    </w:pPr>
  </w:p>
  <w:p w:rsidRPr="004E1699" w:rsidR="00621B53" w:rsidRDefault="00621B53" w14:paraId="165BF6E0" w14:textId="77777777">
    <w:pPr>
      <w:pStyle w:val="Footer"/>
    </w:pPr>
  </w:p>
  <w:p w:rsidRPr="004E1699" w:rsidR="00621B53" w:rsidRDefault="00621B53" w14:paraId="611AAA0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E1699" w:rsidR="00621B53" w:rsidP="00076A31" w:rsidRDefault="00621B53" w14:paraId="5B07118A" w14:textId="0951BA98">
    <w:pPr>
      <w:pStyle w:val="Footer"/>
      <w:pBdr>
        <w:top w:val="single" w:color="D9D9D9" w:themeColor="background1" w:themeShade="D9" w:sz="4" w:space="1"/>
      </w:pBdr>
      <w:jc w:val="right"/>
    </w:pPr>
  </w:p>
  <w:p w:rsidRPr="004E1699" w:rsidR="00621B53" w:rsidRDefault="00621B53" w14:paraId="3938CD5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0CDDF" w14:textId="77777777" w:rsidR="000D73F7" w:rsidRDefault="000D73F7" w:rsidP="00EE2109">
      <w:r>
        <w:separator/>
      </w:r>
    </w:p>
  </w:footnote>
  <w:footnote w:type="continuationSeparator" w:id="0">
    <w:p w14:paraId="622F3FBB" w14:textId="77777777" w:rsidR="000D73F7" w:rsidRDefault="000D73F7" w:rsidP="00EE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E1699" w:rsidR="004E1699" w:rsidRDefault="004E1699" w14:paraId="204BD5A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E1699" w:rsidR="004E1699" w:rsidRDefault="004E1699" w14:paraId="71B0583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E1699" w:rsidR="004E1699" w:rsidRDefault="004E1699" w14:paraId="33A7824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23"/>
    <w:multiLevelType w:val="hybridMultilevel"/>
    <w:tmpl w:val="6922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78C"/>
    <w:multiLevelType w:val="hybridMultilevel"/>
    <w:tmpl w:val="5F1AC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DC6"/>
    <w:multiLevelType w:val="hybridMultilevel"/>
    <w:tmpl w:val="D3143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BA7"/>
    <w:multiLevelType w:val="hybridMultilevel"/>
    <w:tmpl w:val="0D9C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3E86"/>
    <w:multiLevelType w:val="hybridMultilevel"/>
    <w:tmpl w:val="7730076E"/>
    <w:lvl w:ilvl="0" w:tplc="69901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D475B"/>
    <w:multiLevelType w:val="multilevel"/>
    <w:tmpl w:val="77E2855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275B65"/>
    <w:multiLevelType w:val="hybridMultilevel"/>
    <w:tmpl w:val="DCF0A260"/>
    <w:lvl w:ilvl="0" w:tplc="D4C07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D0C23"/>
    <w:multiLevelType w:val="hybridMultilevel"/>
    <w:tmpl w:val="9FB09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41A1"/>
    <w:multiLevelType w:val="multilevel"/>
    <w:tmpl w:val="B5949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3F116B"/>
    <w:multiLevelType w:val="hybridMultilevel"/>
    <w:tmpl w:val="3118F048"/>
    <w:lvl w:ilvl="0" w:tplc="04DA5B0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120D3"/>
    <w:multiLevelType w:val="hybridMultilevel"/>
    <w:tmpl w:val="FA121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8A5"/>
    <w:multiLevelType w:val="hybridMultilevel"/>
    <w:tmpl w:val="592C5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31C58"/>
    <w:multiLevelType w:val="hybridMultilevel"/>
    <w:tmpl w:val="386A81F8"/>
    <w:lvl w:ilvl="0" w:tplc="3F842DE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73CD6"/>
    <w:multiLevelType w:val="multilevel"/>
    <w:tmpl w:val="B5949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801F24"/>
    <w:multiLevelType w:val="multilevel"/>
    <w:tmpl w:val="E58E1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7302CE"/>
    <w:multiLevelType w:val="multilevel"/>
    <w:tmpl w:val="6B923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E3765"/>
    <w:multiLevelType w:val="hybridMultilevel"/>
    <w:tmpl w:val="B974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E4EB4"/>
    <w:multiLevelType w:val="hybridMultilevel"/>
    <w:tmpl w:val="4E78AF06"/>
    <w:lvl w:ilvl="0" w:tplc="E5BE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lang w:val="en-GB"/>
      </w:rPr>
    </w:lvl>
    <w:lvl w:ilvl="1" w:tplc="080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b w:val="0"/>
        <w:i w:val="0"/>
        <w:vertAlign w:val="baseline"/>
      </w:rPr>
    </w:lvl>
    <w:lvl w:ilvl="2" w:tplc="67743F40">
      <w:start w:val="1"/>
      <w:numFmt w:val="lowerLetter"/>
      <w:lvlText w:val="(%3)"/>
      <w:lvlJc w:val="left"/>
      <w:pPr>
        <w:ind w:left="2318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b w:val="0"/>
        <w:i w:val="0"/>
        <w:vertAlign w:val="baseline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18" w15:restartNumberingAfterBreak="0">
    <w:nsid w:val="5A7A33BB"/>
    <w:multiLevelType w:val="hybridMultilevel"/>
    <w:tmpl w:val="8E40BBA8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655D5A3A"/>
    <w:multiLevelType w:val="hybridMultilevel"/>
    <w:tmpl w:val="569A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923DF"/>
    <w:multiLevelType w:val="hybridMultilevel"/>
    <w:tmpl w:val="B53C6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1E10"/>
    <w:multiLevelType w:val="hybridMultilevel"/>
    <w:tmpl w:val="870AED6E"/>
    <w:lvl w:ilvl="0" w:tplc="58228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07784"/>
    <w:multiLevelType w:val="multilevel"/>
    <w:tmpl w:val="373A06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074AA4"/>
    <w:multiLevelType w:val="hybridMultilevel"/>
    <w:tmpl w:val="6A327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3848"/>
    <w:multiLevelType w:val="hybridMultilevel"/>
    <w:tmpl w:val="A1826D14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1"/>
  </w:num>
  <w:num w:numId="5">
    <w:abstractNumId w:val="14"/>
  </w:num>
  <w:num w:numId="6">
    <w:abstractNumId w:val="16"/>
  </w:num>
  <w:num w:numId="7">
    <w:abstractNumId w:val="19"/>
  </w:num>
  <w:num w:numId="8">
    <w:abstractNumId w:val="6"/>
  </w:num>
  <w:num w:numId="9">
    <w:abstractNumId w:val="17"/>
  </w:num>
  <w:num w:numId="10">
    <w:abstractNumId w:val="3"/>
  </w:num>
  <w:num w:numId="11">
    <w:abstractNumId w:val="4"/>
  </w:num>
  <w:num w:numId="12">
    <w:abstractNumId w:val="18"/>
  </w:num>
  <w:num w:numId="13">
    <w:abstractNumId w:val="24"/>
  </w:num>
  <w:num w:numId="14">
    <w:abstractNumId w:val="10"/>
  </w:num>
  <w:num w:numId="15">
    <w:abstractNumId w:val="7"/>
  </w:num>
  <w:num w:numId="16">
    <w:abstractNumId w:val="23"/>
  </w:num>
  <w:num w:numId="17">
    <w:abstractNumId w:val="20"/>
  </w:num>
  <w:num w:numId="18">
    <w:abstractNumId w:val="2"/>
  </w:num>
  <w:num w:numId="19">
    <w:abstractNumId w:val="11"/>
  </w:num>
  <w:num w:numId="20">
    <w:abstractNumId w:val="1"/>
  </w:num>
  <w:num w:numId="21">
    <w:abstractNumId w:val="0"/>
  </w:num>
  <w:num w:numId="22">
    <w:abstractNumId w:val="9"/>
  </w:num>
  <w:num w:numId="23">
    <w:abstractNumId w:val="5"/>
  </w:num>
  <w:num w:numId="24">
    <w:abstractNumId w:val="12"/>
  </w:num>
  <w:num w:numId="25">
    <w:abstractNumId w:val="13"/>
  </w:num>
  <w:num w:numId="2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pt-PT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09"/>
    <w:rsid w:val="00001F64"/>
    <w:rsid w:val="00006D28"/>
    <w:rsid w:val="00007024"/>
    <w:rsid w:val="00011CD6"/>
    <w:rsid w:val="00014506"/>
    <w:rsid w:val="000154A5"/>
    <w:rsid w:val="00016ACA"/>
    <w:rsid w:val="00017B0C"/>
    <w:rsid w:val="000229E9"/>
    <w:rsid w:val="00032414"/>
    <w:rsid w:val="00033562"/>
    <w:rsid w:val="00034993"/>
    <w:rsid w:val="0003564C"/>
    <w:rsid w:val="00036309"/>
    <w:rsid w:val="00036BB1"/>
    <w:rsid w:val="00040497"/>
    <w:rsid w:val="00040910"/>
    <w:rsid w:val="00041759"/>
    <w:rsid w:val="000505CB"/>
    <w:rsid w:val="000511C3"/>
    <w:rsid w:val="00051C38"/>
    <w:rsid w:val="000529F8"/>
    <w:rsid w:val="00057664"/>
    <w:rsid w:val="00063045"/>
    <w:rsid w:val="00065A7A"/>
    <w:rsid w:val="00067D0E"/>
    <w:rsid w:val="00074161"/>
    <w:rsid w:val="000752FA"/>
    <w:rsid w:val="000760C6"/>
    <w:rsid w:val="00076A31"/>
    <w:rsid w:val="000805A4"/>
    <w:rsid w:val="000806DF"/>
    <w:rsid w:val="000957ED"/>
    <w:rsid w:val="000966DD"/>
    <w:rsid w:val="000A165C"/>
    <w:rsid w:val="000A1C01"/>
    <w:rsid w:val="000A5BC9"/>
    <w:rsid w:val="000A5E02"/>
    <w:rsid w:val="000A6610"/>
    <w:rsid w:val="000B01C4"/>
    <w:rsid w:val="000B02B4"/>
    <w:rsid w:val="000B23D3"/>
    <w:rsid w:val="000B32B8"/>
    <w:rsid w:val="000B7EC8"/>
    <w:rsid w:val="000C0FCA"/>
    <w:rsid w:val="000C2F0E"/>
    <w:rsid w:val="000C6282"/>
    <w:rsid w:val="000D0219"/>
    <w:rsid w:val="000D22B6"/>
    <w:rsid w:val="000D73F7"/>
    <w:rsid w:val="000E23D7"/>
    <w:rsid w:val="000E3CED"/>
    <w:rsid w:val="000E427E"/>
    <w:rsid w:val="000E48E9"/>
    <w:rsid w:val="000F00CE"/>
    <w:rsid w:val="000F1F34"/>
    <w:rsid w:val="000F2C34"/>
    <w:rsid w:val="000F33CF"/>
    <w:rsid w:val="000F4438"/>
    <w:rsid w:val="000F548B"/>
    <w:rsid w:val="000F70EB"/>
    <w:rsid w:val="00100578"/>
    <w:rsid w:val="001024A2"/>
    <w:rsid w:val="0010469A"/>
    <w:rsid w:val="00105B54"/>
    <w:rsid w:val="00106ED4"/>
    <w:rsid w:val="001073ED"/>
    <w:rsid w:val="0010766F"/>
    <w:rsid w:val="00107A0A"/>
    <w:rsid w:val="00111EE6"/>
    <w:rsid w:val="00121625"/>
    <w:rsid w:val="001223EB"/>
    <w:rsid w:val="00126176"/>
    <w:rsid w:val="0012671F"/>
    <w:rsid w:val="00131601"/>
    <w:rsid w:val="001328D0"/>
    <w:rsid w:val="001354BE"/>
    <w:rsid w:val="00136B7F"/>
    <w:rsid w:val="0014071B"/>
    <w:rsid w:val="0014656A"/>
    <w:rsid w:val="00146F3B"/>
    <w:rsid w:val="00152B43"/>
    <w:rsid w:val="00152D82"/>
    <w:rsid w:val="00153840"/>
    <w:rsid w:val="00154AC6"/>
    <w:rsid w:val="00163AB9"/>
    <w:rsid w:val="00164E5D"/>
    <w:rsid w:val="001677B4"/>
    <w:rsid w:val="001733C8"/>
    <w:rsid w:val="00173BCD"/>
    <w:rsid w:val="00181448"/>
    <w:rsid w:val="00182BB6"/>
    <w:rsid w:val="001834C6"/>
    <w:rsid w:val="0018626A"/>
    <w:rsid w:val="00186C7E"/>
    <w:rsid w:val="001876A0"/>
    <w:rsid w:val="00194EAB"/>
    <w:rsid w:val="001A0AA3"/>
    <w:rsid w:val="001A3CEF"/>
    <w:rsid w:val="001A73A3"/>
    <w:rsid w:val="001B364E"/>
    <w:rsid w:val="001B5F6B"/>
    <w:rsid w:val="001B5FE0"/>
    <w:rsid w:val="001C0ABC"/>
    <w:rsid w:val="001C393D"/>
    <w:rsid w:val="001C3C58"/>
    <w:rsid w:val="001C770A"/>
    <w:rsid w:val="001D1E3B"/>
    <w:rsid w:val="001D419A"/>
    <w:rsid w:val="001D4BE8"/>
    <w:rsid w:val="001D74A9"/>
    <w:rsid w:val="001D7BD9"/>
    <w:rsid w:val="001E0B04"/>
    <w:rsid w:val="001E2BAD"/>
    <w:rsid w:val="001E4ABE"/>
    <w:rsid w:val="001E6C10"/>
    <w:rsid w:val="001E7C91"/>
    <w:rsid w:val="001F0032"/>
    <w:rsid w:val="001F059A"/>
    <w:rsid w:val="001F110A"/>
    <w:rsid w:val="001F4614"/>
    <w:rsid w:val="001F5488"/>
    <w:rsid w:val="001F61D5"/>
    <w:rsid w:val="001F74BE"/>
    <w:rsid w:val="001F77A1"/>
    <w:rsid w:val="0021216C"/>
    <w:rsid w:val="00213865"/>
    <w:rsid w:val="00213E0C"/>
    <w:rsid w:val="002164BD"/>
    <w:rsid w:val="00232292"/>
    <w:rsid w:val="00236231"/>
    <w:rsid w:val="00237D55"/>
    <w:rsid w:val="00240EE0"/>
    <w:rsid w:val="002421B8"/>
    <w:rsid w:val="00247527"/>
    <w:rsid w:val="00251CAB"/>
    <w:rsid w:val="00252C97"/>
    <w:rsid w:val="002569F6"/>
    <w:rsid w:val="00256DE1"/>
    <w:rsid w:val="002606BE"/>
    <w:rsid w:val="00261A8F"/>
    <w:rsid w:val="0026468E"/>
    <w:rsid w:val="002647CC"/>
    <w:rsid w:val="00270F50"/>
    <w:rsid w:val="002737B5"/>
    <w:rsid w:val="0027595C"/>
    <w:rsid w:val="002810DD"/>
    <w:rsid w:val="00281C4C"/>
    <w:rsid w:val="0028321A"/>
    <w:rsid w:val="00284E13"/>
    <w:rsid w:val="00285A96"/>
    <w:rsid w:val="002A7A52"/>
    <w:rsid w:val="002B0ED1"/>
    <w:rsid w:val="002B221E"/>
    <w:rsid w:val="002B2257"/>
    <w:rsid w:val="002B3379"/>
    <w:rsid w:val="002B4019"/>
    <w:rsid w:val="002B40DA"/>
    <w:rsid w:val="002C2A74"/>
    <w:rsid w:val="002D33E6"/>
    <w:rsid w:val="002D4295"/>
    <w:rsid w:val="002E69B2"/>
    <w:rsid w:val="002F40D6"/>
    <w:rsid w:val="002F4E34"/>
    <w:rsid w:val="00300BDF"/>
    <w:rsid w:val="00303072"/>
    <w:rsid w:val="003030A8"/>
    <w:rsid w:val="00306297"/>
    <w:rsid w:val="0030787A"/>
    <w:rsid w:val="00312B76"/>
    <w:rsid w:val="003142BB"/>
    <w:rsid w:val="00314EED"/>
    <w:rsid w:val="003150B1"/>
    <w:rsid w:val="003257A1"/>
    <w:rsid w:val="00331A79"/>
    <w:rsid w:val="00332C7F"/>
    <w:rsid w:val="003335B0"/>
    <w:rsid w:val="00342B32"/>
    <w:rsid w:val="00343B76"/>
    <w:rsid w:val="0035019C"/>
    <w:rsid w:val="0035115D"/>
    <w:rsid w:val="00351B87"/>
    <w:rsid w:val="003661D2"/>
    <w:rsid w:val="00367F83"/>
    <w:rsid w:val="003711E5"/>
    <w:rsid w:val="0038457D"/>
    <w:rsid w:val="00386B21"/>
    <w:rsid w:val="003901D2"/>
    <w:rsid w:val="003920FA"/>
    <w:rsid w:val="0039252B"/>
    <w:rsid w:val="0039712A"/>
    <w:rsid w:val="00397D2C"/>
    <w:rsid w:val="003A2895"/>
    <w:rsid w:val="003A2BB9"/>
    <w:rsid w:val="003A7EB0"/>
    <w:rsid w:val="003B3524"/>
    <w:rsid w:val="003B3F22"/>
    <w:rsid w:val="003B66D9"/>
    <w:rsid w:val="003B6E66"/>
    <w:rsid w:val="003B7A97"/>
    <w:rsid w:val="003C0656"/>
    <w:rsid w:val="003C0731"/>
    <w:rsid w:val="003C1BE3"/>
    <w:rsid w:val="003C35D5"/>
    <w:rsid w:val="003C42E0"/>
    <w:rsid w:val="003C4596"/>
    <w:rsid w:val="003C4970"/>
    <w:rsid w:val="003C7335"/>
    <w:rsid w:val="003D15C6"/>
    <w:rsid w:val="003D347C"/>
    <w:rsid w:val="003D4107"/>
    <w:rsid w:val="003D5187"/>
    <w:rsid w:val="003E068E"/>
    <w:rsid w:val="003F2070"/>
    <w:rsid w:val="003F5FA4"/>
    <w:rsid w:val="00402059"/>
    <w:rsid w:val="004021BC"/>
    <w:rsid w:val="00402B9B"/>
    <w:rsid w:val="00410938"/>
    <w:rsid w:val="00414981"/>
    <w:rsid w:val="00415899"/>
    <w:rsid w:val="00417A3B"/>
    <w:rsid w:val="00420708"/>
    <w:rsid w:val="00421439"/>
    <w:rsid w:val="004214DA"/>
    <w:rsid w:val="00426524"/>
    <w:rsid w:val="00433F9B"/>
    <w:rsid w:val="00443651"/>
    <w:rsid w:val="0044551F"/>
    <w:rsid w:val="00446002"/>
    <w:rsid w:val="00451CDE"/>
    <w:rsid w:val="004529D5"/>
    <w:rsid w:val="00456876"/>
    <w:rsid w:val="0046171E"/>
    <w:rsid w:val="004632FE"/>
    <w:rsid w:val="00470059"/>
    <w:rsid w:val="00470946"/>
    <w:rsid w:val="004727D2"/>
    <w:rsid w:val="00473A52"/>
    <w:rsid w:val="00473E28"/>
    <w:rsid w:val="004742DB"/>
    <w:rsid w:val="00483118"/>
    <w:rsid w:val="00486545"/>
    <w:rsid w:val="00486C67"/>
    <w:rsid w:val="00491D61"/>
    <w:rsid w:val="00491ECE"/>
    <w:rsid w:val="004936DE"/>
    <w:rsid w:val="004947E1"/>
    <w:rsid w:val="00494B4A"/>
    <w:rsid w:val="00495FFC"/>
    <w:rsid w:val="004A4129"/>
    <w:rsid w:val="004B2750"/>
    <w:rsid w:val="004B4F3D"/>
    <w:rsid w:val="004B6B12"/>
    <w:rsid w:val="004C0607"/>
    <w:rsid w:val="004C1A8D"/>
    <w:rsid w:val="004C2089"/>
    <w:rsid w:val="004C29E4"/>
    <w:rsid w:val="004C7EBE"/>
    <w:rsid w:val="004D0167"/>
    <w:rsid w:val="004D2021"/>
    <w:rsid w:val="004D4A20"/>
    <w:rsid w:val="004E1699"/>
    <w:rsid w:val="004E19BF"/>
    <w:rsid w:val="004F1916"/>
    <w:rsid w:val="004F1DCB"/>
    <w:rsid w:val="004F1F68"/>
    <w:rsid w:val="004F25FC"/>
    <w:rsid w:val="004F3850"/>
    <w:rsid w:val="004F38B9"/>
    <w:rsid w:val="004F39CC"/>
    <w:rsid w:val="004F4409"/>
    <w:rsid w:val="004F65A4"/>
    <w:rsid w:val="004F6920"/>
    <w:rsid w:val="00501BF1"/>
    <w:rsid w:val="005035D0"/>
    <w:rsid w:val="00503F3B"/>
    <w:rsid w:val="005053C8"/>
    <w:rsid w:val="00505AA4"/>
    <w:rsid w:val="00506106"/>
    <w:rsid w:val="00511F4F"/>
    <w:rsid w:val="0051238B"/>
    <w:rsid w:val="005147A1"/>
    <w:rsid w:val="0052195B"/>
    <w:rsid w:val="00521AFE"/>
    <w:rsid w:val="0052422B"/>
    <w:rsid w:val="00524AF0"/>
    <w:rsid w:val="005259B6"/>
    <w:rsid w:val="005261B3"/>
    <w:rsid w:val="005306E1"/>
    <w:rsid w:val="00540195"/>
    <w:rsid w:val="005443D6"/>
    <w:rsid w:val="00544C56"/>
    <w:rsid w:val="00547461"/>
    <w:rsid w:val="00547E04"/>
    <w:rsid w:val="00555746"/>
    <w:rsid w:val="005612BE"/>
    <w:rsid w:val="00562F3E"/>
    <w:rsid w:val="00567A57"/>
    <w:rsid w:val="00571068"/>
    <w:rsid w:val="005722ED"/>
    <w:rsid w:val="00572785"/>
    <w:rsid w:val="005759BF"/>
    <w:rsid w:val="00580A2E"/>
    <w:rsid w:val="005850A4"/>
    <w:rsid w:val="00586208"/>
    <w:rsid w:val="005864CD"/>
    <w:rsid w:val="00590C34"/>
    <w:rsid w:val="0059330F"/>
    <w:rsid w:val="00593D21"/>
    <w:rsid w:val="00593E8D"/>
    <w:rsid w:val="005947D2"/>
    <w:rsid w:val="00595DA7"/>
    <w:rsid w:val="005A51D4"/>
    <w:rsid w:val="005A7CA9"/>
    <w:rsid w:val="005B26A2"/>
    <w:rsid w:val="005B36C4"/>
    <w:rsid w:val="005B3D89"/>
    <w:rsid w:val="005B4B62"/>
    <w:rsid w:val="005B6491"/>
    <w:rsid w:val="005B7E87"/>
    <w:rsid w:val="005C422E"/>
    <w:rsid w:val="005D3A0E"/>
    <w:rsid w:val="005D45BC"/>
    <w:rsid w:val="005E39C6"/>
    <w:rsid w:val="005E3FDC"/>
    <w:rsid w:val="005E54A4"/>
    <w:rsid w:val="005E5F56"/>
    <w:rsid w:val="005F05E7"/>
    <w:rsid w:val="005F637D"/>
    <w:rsid w:val="00600E2E"/>
    <w:rsid w:val="006019FB"/>
    <w:rsid w:val="006031EC"/>
    <w:rsid w:val="00606623"/>
    <w:rsid w:val="00612229"/>
    <w:rsid w:val="006130E4"/>
    <w:rsid w:val="00617099"/>
    <w:rsid w:val="00621B53"/>
    <w:rsid w:val="00622611"/>
    <w:rsid w:val="00624704"/>
    <w:rsid w:val="006252F5"/>
    <w:rsid w:val="0063369E"/>
    <w:rsid w:val="00637697"/>
    <w:rsid w:val="006405EF"/>
    <w:rsid w:val="0064285B"/>
    <w:rsid w:val="00644C8C"/>
    <w:rsid w:val="006478F4"/>
    <w:rsid w:val="00650DB1"/>
    <w:rsid w:val="006541B0"/>
    <w:rsid w:val="00655FB4"/>
    <w:rsid w:val="006578F4"/>
    <w:rsid w:val="006630C6"/>
    <w:rsid w:val="00667D2B"/>
    <w:rsid w:val="0067008E"/>
    <w:rsid w:val="006705A2"/>
    <w:rsid w:val="00671181"/>
    <w:rsid w:val="0067375B"/>
    <w:rsid w:val="00673C00"/>
    <w:rsid w:val="0067579E"/>
    <w:rsid w:val="00676D92"/>
    <w:rsid w:val="00683165"/>
    <w:rsid w:val="00696030"/>
    <w:rsid w:val="006A20B1"/>
    <w:rsid w:val="006A5785"/>
    <w:rsid w:val="006A7D96"/>
    <w:rsid w:val="006B6B5D"/>
    <w:rsid w:val="006C45DB"/>
    <w:rsid w:val="006D1D22"/>
    <w:rsid w:val="006D1DB4"/>
    <w:rsid w:val="006D281A"/>
    <w:rsid w:val="006E1287"/>
    <w:rsid w:val="006F5510"/>
    <w:rsid w:val="006F591F"/>
    <w:rsid w:val="0070059F"/>
    <w:rsid w:val="00713A4E"/>
    <w:rsid w:val="00714F61"/>
    <w:rsid w:val="0071743D"/>
    <w:rsid w:val="007216B9"/>
    <w:rsid w:val="00722E03"/>
    <w:rsid w:val="00723810"/>
    <w:rsid w:val="00730CA6"/>
    <w:rsid w:val="00732059"/>
    <w:rsid w:val="00732C03"/>
    <w:rsid w:val="007350BE"/>
    <w:rsid w:val="007352FC"/>
    <w:rsid w:val="007353E7"/>
    <w:rsid w:val="0074083E"/>
    <w:rsid w:val="00740C6E"/>
    <w:rsid w:val="00743463"/>
    <w:rsid w:val="00747784"/>
    <w:rsid w:val="007503E3"/>
    <w:rsid w:val="00750DE9"/>
    <w:rsid w:val="00755430"/>
    <w:rsid w:val="00762CBC"/>
    <w:rsid w:val="00766663"/>
    <w:rsid w:val="00771EFC"/>
    <w:rsid w:val="00774120"/>
    <w:rsid w:val="00776054"/>
    <w:rsid w:val="0078222A"/>
    <w:rsid w:val="00787776"/>
    <w:rsid w:val="007906A4"/>
    <w:rsid w:val="007956DA"/>
    <w:rsid w:val="00795CBD"/>
    <w:rsid w:val="007A212E"/>
    <w:rsid w:val="007A684B"/>
    <w:rsid w:val="007B1880"/>
    <w:rsid w:val="007B1A02"/>
    <w:rsid w:val="007B6B42"/>
    <w:rsid w:val="007B795B"/>
    <w:rsid w:val="007C14A0"/>
    <w:rsid w:val="007C204E"/>
    <w:rsid w:val="007C2E57"/>
    <w:rsid w:val="007C45FE"/>
    <w:rsid w:val="007D02F8"/>
    <w:rsid w:val="007D0E0F"/>
    <w:rsid w:val="007D5E73"/>
    <w:rsid w:val="007D7060"/>
    <w:rsid w:val="007E30F8"/>
    <w:rsid w:val="007E39B3"/>
    <w:rsid w:val="007F078C"/>
    <w:rsid w:val="007F3AFE"/>
    <w:rsid w:val="007F4815"/>
    <w:rsid w:val="007F5893"/>
    <w:rsid w:val="007F77AF"/>
    <w:rsid w:val="0080089F"/>
    <w:rsid w:val="00806409"/>
    <w:rsid w:val="00807D35"/>
    <w:rsid w:val="00813800"/>
    <w:rsid w:val="008161E2"/>
    <w:rsid w:val="0082019A"/>
    <w:rsid w:val="00823236"/>
    <w:rsid w:val="008360B8"/>
    <w:rsid w:val="0084317F"/>
    <w:rsid w:val="0084692C"/>
    <w:rsid w:val="00855BB9"/>
    <w:rsid w:val="00861A2D"/>
    <w:rsid w:val="00862AB0"/>
    <w:rsid w:val="0086329A"/>
    <w:rsid w:val="008704C7"/>
    <w:rsid w:val="00872808"/>
    <w:rsid w:val="00873C73"/>
    <w:rsid w:val="00875B0B"/>
    <w:rsid w:val="00875FA8"/>
    <w:rsid w:val="00877C95"/>
    <w:rsid w:val="008807F7"/>
    <w:rsid w:val="00893DEB"/>
    <w:rsid w:val="00895F51"/>
    <w:rsid w:val="00897398"/>
    <w:rsid w:val="008A47EC"/>
    <w:rsid w:val="008B2088"/>
    <w:rsid w:val="008B2B00"/>
    <w:rsid w:val="008B2D33"/>
    <w:rsid w:val="008B47C3"/>
    <w:rsid w:val="008B4FAB"/>
    <w:rsid w:val="008B5026"/>
    <w:rsid w:val="008B6BB1"/>
    <w:rsid w:val="008B70EE"/>
    <w:rsid w:val="008C285A"/>
    <w:rsid w:val="008D13E1"/>
    <w:rsid w:val="008D25AE"/>
    <w:rsid w:val="008D36F0"/>
    <w:rsid w:val="008D7DBA"/>
    <w:rsid w:val="008E48FC"/>
    <w:rsid w:val="008F114D"/>
    <w:rsid w:val="008F5B9D"/>
    <w:rsid w:val="00900AFE"/>
    <w:rsid w:val="00905D02"/>
    <w:rsid w:val="009168B8"/>
    <w:rsid w:val="00916A64"/>
    <w:rsid w:val="009173FF"/>
    <w:rsid w:val="0092055D"/>
    <w:rsid w:val="00920880"/>
    <w:rsid w:val="00920C9F"/>
    <w:rsid w:val="00923E53"/>
    <w:rsid w:val="009249B6"/>
    <w:rsid w:val="00924ABC"/>
    <w:rsid w:val="0094561E"/>
    <w:rsid w:val="00945A2D"/>
    <w:rsid w:val="00952226"/>
    <w:rsid w:val="00957B35"/>
    <w:rsid w:val="009600CE"/>
    <w:rsid w:val="0096187F"/>
    <w:rsid w:val="00962E0F"/>
    <w:rsid w:val="00965DEE"/>
    <w:rsid w:val="009723ED"/>
    <w:rsid w:val="0097257F"/>
    <w:rsid w:val="00975261"/>
    <w:rsid w:val="00981C5F"/>
    <w:rsid w:val="009820F1"/>
    <w:rsid w:val="0098755E"/>
    <w:rsid w:val="00991819"/>
    <w:rsid w:val="009935E6"/>
    <w:rsid w:val="00993934"/>
    <w:rsid w:val="00993B68"/>
    <w:rsid w:val="009A0D3C"/>
    <w:rsid w:val="009A3AD5"/>
    <w:rsid w:val="009A4F1C"/>
    <w:rsid w:val="009A548A"/>
    <w:rsid w:val="009A5AB4"/>
    <w:rsid w:val="009A6113"/>
    <w:rsid w:val="009A64EB"/>
    <w:rsid w:val="009A6520"/>
    <w:rsid w:val="009B059F"/>
    <w:rsid w:val="009B18DA"/>
    <w:rsid w:val="009B2A0A"/>
    <w:rsid w:val="009B76E6"/>
    <w:rsid w:val="009D0910"/>
    <w:rsid w:val="009D4CB9"/>
    <w:rsid w:val="009E03E1"/>
    <w:rsid w:val="009E77F4"/>
    <w:rsid w:val="009F1C6E"/>
    <w:rsid w:val="009F5880"/>
    <w:rsid w:val="00A01E59"/>
    <w:rsid w:val="00A04073"/>
    <w:rsid w:val="00A064BF"/>
    <w:rsid w:val="00A06782"/>
    <w:rsid w:val="00A108EB"/>
    <w:rsid w:val="00A11EE7"/>
    <w:rsid w:val="00A16D7D"/>
    <w:rsid w:val="00A2525D"/>
    <w:rsid w:val="00A26587"/>
    <w:rsid w:val="00A31037"/>
    <w:rsid w:val="00A32ECA"/>
    <w:rsid w:val="00A34C17"/>
    <w:rsid w:val="00A405DA"/>
    <w:rsid w:val="00A40D99"/>
    <w:rsid w:val="00A41CAB"/>
    <w:rsid w:val="00A41D88"/>
    <w:rsid w:val="00A443C2"/>
    <w:rsid w:val="00A51B28"/>
    <w:rsid w:val="00A55719"/>
    <w:rsid w:val="00A5608F"/>
    <w:rsid w:val="00A564F5"/>
    <w:rsid w:val="00A60789"/>
    <w:rsid w:val="00A66FB7"/>
    <w:rsid w:val="00A71B52"/>
    <w:rsid w:val="00A73BA5"/>
    <w:rsid w:val="00A77584"/>
    <w:rsid w:val="00A83447"/>
    <w:rsid w:val="00A83E3B"/>
    <w:rsid w:val="00A85933"/>
    <w:rsid w:val="00A93B96"/>
    <w:rsid w:val="00A9717E"/>
    <w:rsid w:val="00A975C0"/>
    <w:rsid w:val="00AA3F9E"/>
    <w:rsid w:val="00AA50F4"/>
    <w:rsid w:val="00AA6AF3"/>
    <w:rsid w:val="00AB0EDB"/>
    <w:rsid w:val="00AB1059"/>
    <w:rsid w:val="00AB2466"/>
    <w:rsid w:val="00AB3370"/>
    <w:rsid w:val="00AB5F3E"/>
    <w:rsid w:val="00AB699C"/>
    <w:rsid w:val="00AB6C12"/>
    <w:rsid w:val="00AB77D8"/>
    <w:rsid w:val="00AB7E8E"/>
    <w:rsid w:val="00AC00FB"/>
    <w:rsid w:val="00AC751D"/>
    <w:rsid w:val="00AD4A21"/>
    <w:rsid w:val="00AD7E58"/>
    <w:rsid w:val="00AE204F"/>
    <w:rsid w:val="00AE33F2"/>
    <w:rsid w:val="00AE442D"/>
    <w:rsid w:val="00AE75C1"/>
    <w:rsid w:val="00AF59D9"/>
    <w:rsid w:val="00AF7B67"/>
    <w:rsid w:val="00B0086E"/>
    <w:rsid w:val="00B01414"/>
    <w:rsid w:val="00B02394"/>
    <w:rsid w:val="00B0562C"/>
    <w:rsid w:val="00B05761"/>
    <w:rsid w:val="00B07357"/>
    <w:rsid w:val="00B11FC2"/>
    <w:rsid w:val="00B1217F"/>
    <w:rsid w:val="00B134FC"/>
    <w:rsid w:val="00B16829"/>
    <w:rsid w:val="00B21983"/>
    <w:rsid w:val="00B23FBC"/>
    <w:rsid w:val="00B3145D"/>
    <w:rsid w:val="00B33445"/>
    <w:rsid w:val="00B34201"/>
    <w:rsid w:val="00B34B75"/>
    <w:rsid w:val="00B3748D"/>
    <w:rsid w:val="00B378CE"/>
    <w:rsid w:val="00B43A4F"/>
    <w:rsid w:val="00B47E6A"/>
    <w:rsid w:val="00B52447"/>
    <w:rsid w:val="00B618AA"/>
    <w:rsid w:val="00B65AFF"/>
    <w:rsid w:val="00B67676"/>
    <w:rsid w:val="00B677EA"/>
    <w:rsid w:val="00B67842"/>
    <w:rsid w:val="00B70EC1"/>
    <w:rsid w:val="00B77DB4"/>
    <w:rsid w:val="00B77E77"/>
    <w:rsid w:val="00B82DCD"/>
    <w:rsid w:val="00B83EE2"/>
    <w:rsid w:val="00B91BF3"/>
    <w:rsid w:val="00BA59C1"/>
    <w:rsid w:val="00BA5E3F"/>
    <w:rsid w:val="00BA6ED1"/>
    <w:rsid w:val="00BB12F8"/>
    <w:rsid w:val="00BB3F97"/>
    <w:rsid w:val="00BC1402"/>
    <w:rsid w:val="00BC243B"/>
    <w:rsid w:val="00BC35F9"/>
    <w:rsid w:val="00BD1B7D"/>
    <w:rsid w:val="00BD1EBD"/>
    <w:rsid w:val="00BE017A"/>
    <w:rsid w:val="00BE05CD"/>
    <w:rsid w:val="00BE2486"/>
    <w:rsid w:val="00BE62A6"/>
    <w:rsid w:val="00C10F80"/>
    <w:rsid w:val="00C23459"/>
    <w:rsid w:val="00C25753"/>
    <w:rsid w:val="00C31CF7"/>
    <w:rsid w:val="00C33E61"/>
    <w:rsid w:val="00C415E1"/>
    <w:rsid w:val="00C46B74"/>
    <w:rsid w:val="00C506A6"/>
    <w:rsid w:val="00C51DF9"/>
    <w:rsid w:val="00C53D3F"/>
    <w:rsid w:val="00C53F0D"/>
    <w:rsid w:val="00C5417D"/>
    <w:rsid w:val="00C55DAC"/>
    <w:rsid w:val="00C56F94"/>
    <w:rsid w:val="00C5747F"/>
    <w:rsid w:val="00C60581"/>
    <w:rsid w:val="00C6254C"/>
    <w:rsid w:val="00C6355B"/>
    <w:rsid w:val="00C6373E"/>
    <w:rsid w:val="00C67183"/>
    <w:rsid w:val="00C706C6"/>
    <w:rsid w:val="00C71B2B"/>
    <w:rsid w:val="00C73A90"/>
    <w:rsid w:val="00C74561"/>
    <w:rsid w:val="00C7512B"/>
    <w:rsid w:val="00C76A08"/>
    <w:rsid w:val="00C94068"/>
    <w:rsid w:val="00CA18EB"/>
    <w:rsid w:val="00CB0A54"/>
    <w:rsid w:val="00CB36DB"/>
    <w:rsid w:val="00CC1383"/>
    <w:rsid w:val="00CC7C9E"/>
    <w:rsid w:val="00CC7DA5"/>
    <w:rsid w:val="00CD048D"/>
    <w:rsid w:val="00CE1660"/>
    <w:rsid w:val="00CE2B5E"/>
    <w:rsid w:val="00CE6E2C"/>
    <w:rsid w:val="00CF000E"/>
    <w:rsid w:val="00CF048E"/>
    <w:rsid w:val="00CF4418"/>
    <w:rsid w:val="00CF5E87"/>
    <w:rsid w:val="00CF655A"/>
    <w:rsid w:val="00CF75C1"/>
    <w:rsid w:val="00D01C96"/>
    <w:rsid w:val="00D065E1"/>
    <w:rsid w:val="00D119BC"/>
    <w:rsid w:val="00D15D8D"/>
    <w:rsid w:val="00D22CDF"/>
    <w:rsid w:val="00D320B5"/>
    <w:rsid w:val="00D341C9"/>
    <w:rsid w:val="00D34D70"/>
    <w:rsid w:val="00D36040"/>
    <w:rsid w:val="00D416B4"/>
    <w:rsid w:val="00D479BA"/>
    <w:rsid w:val="00D52070"/>
    <w:rsid w:val="00D559E7"/>
    <w:rsid w:val="00D56055"/>
    <w:rsid w:val="00D56B01"/>
    <w:rsid w:val="00D62B38"/>
    <w:rsid w:val="00D72B25"/>
    <w:rsid w:val="00D7480B"/>
    <w:rsid w:val="00D80CFA"/>
    <w:rsid w:val="00D81D6F"/>
    <w:rsid w:val="00D82520"/>
    <w:rsid w:val="00D828BA"/>
    <w:rsid w:val="00D8307A"/>
    <w:rsid w:val="00D856DE"/>
    <w:rsid w:val="00D85726"/>
    <w:rsid w:val="00D85A75"/>
    <w:rsid w:val="00D86331"/>
    <w:rsid w:val="00D909D3"/>
    <w:rsid w:val="00D93B6B"/>
    <w:rsid w:val="00D9545B"/>
    <w:rsid w:val="00D95F72"/>
    <w:rsid w:val="00D967FD"/>
    <w:rsid w:val="00DA34BC"/>
    <w:rsid w:val="00DA3D70"/>
    <w:rsid w:val="00DA4A04"/>
    <w:rsid w:val="00DA5170"/>
    <w:rsid w:val="00DA7EF6"/>
    <w:rsid w:val="00DB63DA"/>
    <w:rsid w:val="00DC05B5"/>
    <w:rsid w:val="00DC12A7"/>
    <w:rsid w:val="00DC4371"/>
    <w:rsid w:val="00DC6B1F"/>
    <w:rsid w:val="00DC7100"/>
    <w:rsid w:val="00DD4B3E"/>
    <w:rsid w:val="00DD77A2"/>
    <w:rsid w:val="00DD7BD0"/>
    <w:rsid w:val="00DE0639"/>
    <w:rsid w:val="00DE260E"/>
    <w:rsid w:val="00DE678E"/>
    <w:rsid w:val="00DF109E"/>
    <w:rsid w:val="00E10A07"/>
    <w:rsid w:val="00E1712D"/>
    <w:rsid w:val="00E27EB1"/>
    <w:rsid w:val="00E30B0E"/>
    <w:rsid w:val="00E43A48"/>
    <w:rsid w:val="00E44974"/>
    <w:rsid w:val="00E46AF2"/>
    <w:rsid w:val="00E46CD7"/>
    <w:rsid w:val="00E47348"/>
    <w:rsid w:val="00E515CF"/>
    <w:rsid w:val="00E56CEF"/>
    <w:rsid w:val="00E56D10"/>
    <w:rsid w:val="00E57E7C"/>
    <w:rsid w:val="00E603D5"/>
    <w:rsid w:val="00E6069E"/>
    <w:rsid w:val="00E63C0D"/>
    <w:rsid w:val="00E64157"/>
    <w:rsid w:val="00E7112A"/>
    <w:rsid w:val="00E742D0"/>
    <w:rsid w:val="00E85FAB"/>
    <w:rsid w:val="00E9345F"/>
    <w:rsid w:val="00EA00BF"/>
    <w:rsid w:val="00EA0DCA"/>
    <w:rsid w:val="00EA1EA1"/>
    <w:rsid w:val="00EA5128"/>
    <w:rsid w:val="00EB400C"/>
    <w:rsid w:val="00EB6CCB"/>
    <w:rsid w:val="00EB7722"/>
    <w:rsid w:val="00EC6FB7"/>
    <w:rsid w:val="00ED1A1F"/>
    <w:rsid w:val="00ED3E6E"/>
    <w:rsid w:val="00ED7354"/>
    <w:rsid w:val="00ED7DF7"/>
    <w:rsid w:val="00EE02FE"/>
    <w:rsid w:val="00EE0BD0"/>
    <w:rsid w:val="00EE2109"/>
    <w:rsid w:val="00EE2D5F"/>
    <w:rsid w:val="00EE52CB"/>
    <w:rsid w:val="00EE6401"/>
    <w:rsid w:val="00EE6B7B"/>
    <w:rsid w:val="00EE75CB"/>
    <w:rsid w:val="00EF51EB"/>
    <w:rsid w:val="00F01D30"/>
    <w:rsid w:val="00F02902"/>
    <w:rsid w:val="00F07F56"/>
    <w:rsid w:val="00F21E14"/>
    <w:rsid w:val="00F25C47"/>
    <w:rsid w:val="00F26835"/>
    <w:rsid w:val="00F276C5"/>
    <w:rsid w:val="00F30102"/>
    <w:rsid w:val="00F327DB"/>
    <w:rsid w:val="00F45E66"/>
    <w:rsid w:val="00F470E2"/>
    <w:rsid w:val="00F50593"/>
    <w:rsid w:val="00F574B3"/>
    <w:rsid w:val="00F5794D"/>
    <w:rsid w:val="00F57E7D"/>
    <w:rsid w:val="00F62132"/>
    <w:rsid w:val="00F65D8A"/>
    <w:rsid w:val="00F75497"/>
    <w:rsid w:val="00F84C6F"/>
    <w:rsid w:val="00F91821"/>
    <w:rsid w:val="00F9185F"/>
    <w:rsid w:val="00F91FBA"/>
    <w:rsid w:val="00F92ABA"/>
    <w:rsid w:val="00F92B0E"/>
    <w:rsid w:val="00F96144"/>
    <w:rsid w:val="00FA6E01"/>
    <w:rsid w:val="00FB3C8D"/>
    <w:rsid w:val="00FB46FE"/>
    <w:rsid w:val="00FB4F9C"/>
    <w:rsid w:val="00FC05C7"/>
    <w:rsid w:val="00FC1F8F"/>
    <w:rsid w:val="00FC646E"/>
    <w:rsid w:val="00FE1013"/>
    <w:rsid w:val="00FE6DAB"/>
    <w:rsid w:val="00FE7998"/>
    <w:rsid w:val="00FE7CED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A2F498"/>
  <w15:docId w15:val="{6B236D09-64F7-4D1E-96EF-F1AD04D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F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FE0"/>
    <w:pPr>
      <w:keepNext/>
      <w:numPr>
        <w:numId w:val="1"/>
      </w:numPr>
      <w:spacing w:after="240"/>
      <w:jc w:val="left"/>
      <w:outlineLvl w:val="0"/>
    </w:pPr>
    <w:rPr>
      <w:rFonts w:eastAsia="Adobe Gothic Std B"/>
      <w:b/>
      <w:bCs/>
      <w:color w:val="005DA4"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04F"/>
    <w:pPr>
      <w:spacing w:after="240"/>
      <w:jc w:val="left"/>
      <w:outlineLvl w:val="1"/>
    </w:pPr>
    <w:rPr>
      <w:b/>
      <w:color w:val="005DA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C56"/>
    <w:pPr>
      <w:keepNext/>
      <w:spacing w:after="240"/>
      <w:ind w:left="426" w:hanging="66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6BE"/>
    <w:pPr>
      <w:keepNext/>
      <w:spacing w:before="240"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1B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1B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1B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1BF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5FE0"/>
    <w:rPr>
      <w:rFonts w:ascii="Times New Roman" w:eastAsia="Adobe Gothic Std B" w:hAnsi="Times New Roman"/>
      <w:b/>
      <w:bCs/>
      <w:color w:val="005DA4"/>
      <w:kern w:val="3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AE204F"/>
    <w:rPr>
      <w:rFonts w:ascii="Times New Roman" w:hAnsi="Times New Roman"/>
      <w:b/>
      <w:color w:val="005DA4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544C56"/>
    <w:rPr>
      <w:rFonts w:ascii="Times New Roman" w:hAnsi="Times New Roman"/>
      <w:bCs/>
      <w:sz w:val="24"/>
      <w:szCs w:val="24"/>
      <w:u w:val="single"/>
      <w:lang w:eastAsia="en-US"/>
    </w:rPr>
  </w:style>
  <w:style w:type="character" w:customStyle="1" w:styleId="Heading4Char">
    <w:name w:val="Heading 4 Char"/>
    <w:link w:val="Heading4"/>
    <w:uiPriority w:val="9"/>
    <w:rsid w:val="002606BE"/>
    <w:rPr>
      <w:rFonts w:ascii="Times New Roman" w:hAnsi="Times New Roman"/>
      <w:b/>
      <w:bCs/>
      <w:color w:val="005DA4"/>
      <w:sz w:val="24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91BF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91BF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91BF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91BF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91BF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421B8"/>
    <w:pPr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421B8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1B8"/>
    <w:pPr>
      <w:spacing w:after="60"/>
      <w:jc w:val="center"/>
    </w:pPr>
    <w:rPr>
      <w:rFonts w:ascii="Arial" w:eastAsia="Times New Roman" w:hAnsi="Arial" w:cs="Arial"/>
    </w:rPr>
  </w:style>
  <w:style w:type="character" w:customStyle="1" w:styleId="SubtitleChar">
    <w:name w:val="Subtitle Char"/>
    <w:link w:val="Subtitle"/>
    <w:uiPriority w:val="11"/>
    <w:rsid w:val="002421B8"/>
    <w:rPr>
      <w:rFonts w:ascii="Arial" w:eastAsia="Times New Roman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sid w:val="00B91BF3"/>
    <w:rPr>
      <w:b/>
      <w:bCs/>
    </w:rPr>
  </w:style>
  <w:style w:type="character" w:styleId="Emphasis">
    <w:name w:val="Emphasis"/>
    <w:uiPriority w:val="20"/>
    <w:qFormat/>
    <w:rsid w:val="00B91BF3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91BF3"/>
    <w:rPr>
      <w:szCs w:val="32"/>
    </w:rPr>
  </w:style>
  <w:style w:type="paragraph" w:styleId="ListParagraph">
    <w:name w:val="List Paragraph"/>
    <w:basedOn w:val="Normal"/>
    <w:uiPriority w:val="34"/>
    <w:qFormat/>
    <w:rsid w:val="00B91B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1BF3"/>
    <w:rPr>
      <w:i/>
    </w:rPr>
  </w:style>
  <w:style w:type="character" w:customStyle="1" w:styleId="QuoteChar">
    <w:name w:val="Quote Char"/>
    <w:link w:val="Quote"/>
    <w:uiPriority w:val="29"/>
    <w:rsid w:val="00B91B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B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91BF3"/>
    <w:rPr>
      <w:b/>
      <w:i/>
      <w:sz w:val="24"/>
    </w:rPr>
  </w:style>
  <w:style w:type="character" w:styleId="SubtleEmphasis">
    <w:name w:val="Subtle Emphasis"/>
    <w:uiPriority w:val="19"/>
    <w:qFormat/>
    <w:rsid w:val="00B91BF3"/>
    <w:rPr>
      <w:i/>
      <w:color w:val="5A5A5A"/>
    </w:rPr>
  </w:style>
  <w:style w:type="character" w:styleId="IntenseEmphasis">
    <w:name w:val="Intense Emphasis"/>
    <w:uiPriority w:val="21"/>
    <w:qFormat/>
    <w:rsid w:val="00B91BF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91BF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91BF3"/>
    <w:rPr>
      <w:b/>
      <w:sz w:val="24"/>
      <w:u w:val="single"/>
    </w:rPr>
  </w:style>
  <w:style w:type="character" w:styleId="BookTitle">
    <w:name w:val="Book Title"/>
    <w:uiPriority w:val="33"/>
    <w:qFormat/>
    <w:rsid w:val="00B91BF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91BF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F33CF"/>
    <w:pPr>
      <w:tabs>
        <w:tab w:val="left" w:pos="440"/>
        <w:tab w:val="right" w:leader="dot" w:pos="9016"/>
      </w:tabs>
      <w:spacing w:before="120" w:after="120"/>
    </w:pPr>
    <w:rPr>
      <w:b/>
      <w:sz w:val="20"/>
    </w:rPr>
  </w:style>
  <w:style w:type="character" w:styleId="Hyperlink">
    <w:name w:val="Hyperlink"/>
    <w:unhideWhenUsed/>
    <w:rsid w:val="00EE210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C1383"/>
    <w:pPr>
      <w:tabs>
        <w:tab w:val="left" w:pos="426"/>
        <w:tab w:val="right" w:leader="dot" w:pos="9016"/>
      </w:tabs>
      <w:spacing w:before="60" w:after="60"/>
    </w:pPr>
    <w:rPr>
      <w:caps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EE21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2109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21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109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109"/>
    <w:rPr>
      <w:rFonts w:ascii="Tahoma" w:hAnsi="Tahoma" w:cs="Tahoma"/>
      <w:sz w:val="16"/>
      <w:szCs w:val="16"/>
      <w:lang w:eastAsia="en-US"/>
    </w:rPr>
  </w:style>
  <w:style w:type="character" w:customStyle="1" w:styleId="NoSpacingChar">
    <w:name w:val="No Spacing Char"/>
    <w:link w:val="NoSpacing"/>
    <w:uiPriority w:val="1"/>
    <w:rsid w:val="0012671F"/>
    <w:rPr>
      <w:rFonts w:ascii="Times New Roman" w:hAnsi="Times New Roman"/>
      <w:sz w:val="24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4ABE"/>
    <w:pPr>
      <w:tabs>
        <w:tab w:val="right" w:leader="dot" w:pos="9016"/>
      </w:tabs>
      <w:ind w:left="1276"/>
      <w:jc w:val="left"/>
    </w:pPr>
    <w:rPr>
      <w:rFonts w:eastAsia="MS Mincho" w:cs="Arial"/>
      <w:i/>
      <w:sz w:val="20"/>
      <w:szCs w:val="22"/>
      <w:lang w:eastAsia="ja-JP"/>
    </w:rPr>
  </w:style>
  <w:style w:type="character" w:customStyle="1" w:styleId="ColorfulGrid-Accent1Char">
    <w:name w:val="Colorful Grid - Accent 1 Char"/>
    <w:link w:val="ColorfulGrid-Accent1"/>
    <w:uiPriority w:val="29"/>
    <w:rsid w:val="0035115D"/>
    <w:rPr>
      <w:i/>
      <w:sz w:val="24"/>
      <w:szCs w:val="24"/>
    </w:rPr>
  </w:style>
  <w:style w:type="character" w:customStyle="1" w:styleId="LightShading-Accent2Char">
    <w:name w:val="Light Shading - Accent 2 Char"/>
    <w:link w:val="LightShading-Accent2"/>
    <w:uiPriority w:val="30"/>
    <w:rsid w:val="0035115D"/>
    <w:rPr>
      <w:b/>
      <w:i/>
      <w:sz w:val="24"/>
    </w:rPr>
  </w:style>
  <w:style w:type="character" w:customStyle="1" w:styleId="Accentuationdiscrte">
    <w:name w:val="Accentuation discrète"/>
    <w:uiPriority w:val="19"/>
    <w:qFormat/>
    <w:rsid w:val="0035115D"/>
    <w:rPr>
      <w:i/>
      <w:color w:val="5A5A5A"/>
    </w:rPr>
  </w:style>
  <w:style w:type="character" w:customStyle="1" w:styleId="Forteaccentuation">
    <w:name w:val="Forte accentuation"/>
    <w:uiPriority w:val="21"/>
    <w:qFormat/>
    <w:rsid w:val="0035115D"/>
    <w:rPr>
      <w:b/>
      <w:i/>
      <w:sz w:val="24"/>
      <w:szCs w:val="24"/>
      <w:u w:val="single"/>
    </w:rPr>
  </w:style>
  <w:style w:type="character" w:customStyle="1" w:styleId="Rfrenceple">
    <w:name w:val="Référence pâle"/>
    <w:uiPriority w:val="31"/>
    <w:qFormat/>
    <w:rsid w:val="0035115D"/>
    <w:rPr>
      <w:sz w:val="24"/>
      <w:szCs w:val="24"/>
      <w:u w:val="single"/>
    </w:rPr>
  </w:style>
  <w:style w:type="character" w:customStyle="1" w:styleId="Rfrenceintense">
    <w:name w:val="Référence intense"/>
    <w:uiPriority w:val="32"/>
    <w:qFormat/>
    <w:rsid w:val="0035115D"/>
    <w:rPr>
      <w:b/>
      <w:sz w:val="24"/>
      <w:u w:val="single"/>
    </w:rPr>
  </w:style>
  <w:style w:type="character" w:customStyle="1" w:styleId="Titredulivre">
    <w:name w:val="Titre du livre"/>
    <w:uiPriority w:val="33"/>
    <w:qFormat/>
    <w:rsid w:val="0035115D"/>
    <w:rPr>
      <w:rFonts w:ascii="Cambria" w:eastAsia="Times New Roman" w:hAnsi="Cambria"/>
      <w:b/>
      <w:i/>
      <w:sz w:val="24"/>
      <w:szCs w:val="24"/>
    </w:rPr>
  </w:style>
  <w:style w:type="paragraph" w:customStyle="1" w:styleId="En-ttedetabledesmatires">
    <w:name w:val="En-tête de table des matières"/>
    <w:basedOn w:val="Heading1"/>
    <w:next w:val="Normal"/>
    <w:uiPriority w:val="39"/>
    <w:semiHidden/>
    <w:unhideWhenUsed/>
    <w:qFormat/>
    <w:rsid w:val="0035115D"/>
    <w:pPr>
      <w:jc w:val="both"/>
      <w:outlineLvl w:val="9"/>
    </w:pPr>
    <w:rPr>
      <w:rFonts w:ascii="Arial" w:eastAsia="Times New Roman" w:hAnsi="Arial"/>
      <w:color w:val="auto"/>
      <w:sz w:val="32"/>
      <w:szCs w:val="32"/>
    </w:rPr>
  </w:style>
  <w:style w:type="character" w:styleId="FootnoteReference">
    <w:name w:val="footnote reference"/>
    <w:aliases w:val="BVI fnr,Footnote Reference Superscript,SUPERS,Footnote symbol,(Footnote Reference),Footnote reference number,note TESI,EN Footnote Reference,Voetnootverwijzing,Times 10 Point,Exposant 3 Point,Appel note de bas de,FR,C"/>
    <w:uiPriority w:val="99"/>
    <w:unhideWhenUsed/>
    <w:qFormat/>
    <w:rsid w:val="0035115D"/>
    <w:rPr>
      <w:vertAlign w:val="superscript"/>
    </w:rPr>
  </w:style>
  <w:style w:type="paragraph" w:customStyle="1" w:styleId="Default">
    <w:name w:val="Default"/>
    <w:rsid w:val="00351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n,footnote text,Fußnotentext Char Char Char Char,Fußnotentext Char Char Char,Footnotetext,Footnotetext1,ftx,Footnotetext2,ftx1,Footnotetext3,ftx2,Footnotetext4,ftx3,Footnotetext5,ftx4,Footnotetext6,Footnotetext7,Footnotetext8"/>
    <w:basedOn w:val="Normal"/>
    <w:link w:val="FootnoteTextChar"/>
    <w:uiPriority w:val="99"/>
    <w:unhideWhenUsed/>
    <w:rsid w:val="0035115D"/>
    <w:rPr>
      <w:sz w:val="20"/>
      <w:szCs w:val="20"/>
    </w:rPr>
  </w:style>
  <w:style w:type="character" w:customStyle="1" w:styleId="FootnoteTextChar">
    <w:name w:val="Footnote Text Char"/>
    <w:aliases w:val="fn Char,footnote text Char,Fußnotentext Char Char Char Char Char,Fußnotentext Char Char Char Char1,Footnotetext Char,Footnotetext1 Char,ftx Char,Footnotetext2 Char,ftx1 Char,Footnotetext3 Char,ftx2 Char,Footnotetext4 Char,ftx3 Char"/>
    <w:link w:val="FootnoteText"/>
    <w:uiPriority w:val="99"/>
    <w:rsid w:val="0035115D"/>
    <w:rPr>
      <w:rFonts w:ascii="Times New Roman" w:hAnsi="Times New Roman"/>
      <w:lang w:val="pt-PT" w:eastAsia="en-US"/>
    </w:rPr>
  </w:style>
  <w:style w:type="character" w:styleId="CommentReference">
    <w:name w:val="annotation reference"/>
    <w:uiPriority w:val="99"/>
    <w:semiHidden/>
    <w:unhideWhenUsed/>
    <w:rsid w:val="00351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1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5115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1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15D"/>
    <w:rPr>
      <w:rFonts w:ascii="Times New Roman" w:hAnsi="Times New Roman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35115D"/>
    <w:rPr>
      <w:color w:val="800080"/>
      <w:u w:val="single"/>
    </w:rPr>
  </w:style>
  <w:style w:type="table" w:styleId="TableGrid">
    <w:name w:val="Table Grid"/>
    <w:basedOn w:val="TableNormal"/>
    <w:uiPriority w:val="59"/>
    <w:rsid w:val="0035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35115D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5115D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5115D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5115D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5115D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5115D"/>
    <w:pPr>
      <w:ind w:left="1920"/>
      <w:jc w:val="left"/>
    </w:pPr>
    <w:rPr>
      <w:rFonts w:ascii="Calibri" w:hAnsi="Calibri" w:cs="Calibri"/>
      <w:sz w:val="18"/>
      <w:szCs w:val="18"/>
    </w:rPr>
  </w:style>
  <w:style w:type="table" w:styleId="ColorfulGrid-Accent1">
    <w:name w:val="Colorful Grid Accent 1"/>
    <w:basedOn w:val="TableNormal"/>
    <w:link w:val="ColorfulGrid-Accent1Char"/>
    <w:uiPriority w:val="29"/>
    <w:rsid w:val="0035115D"/>
    <w:rPr>
      <w:i/>
      <w:sz w:val="24"/>
      <w:szCs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link w:val="LightShading-Accent2Char"/>
    <w:uiPriority w:val="30"/>
    <w:rsid w:val="0035115D"/>
    <w:rPr>
      <w:b/>
      <w:i/>
      <w:sz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HEADING">
    <w:name w:val="HEADING"/>
    <w:basedOn w:val="Normal"/>
    <w:link w:val="HEADINGChar"/>
    <w:qFormat/>
    <w:rsid w:val="000F33CF"/>
    <w:rPr>
      <w:b/>
      <w:color w:val="005DA4"/>
    </w:rPr>
  </w:style>
  <w:style w:type="character" w:customStyle="1" w:styleId="MediumShading1-Accent3Char">
    <w:name w:val="Medium Shading 1 - Accent 3 Char"/>
    <w:link w:val="MediumShading1-Accent3"/>
    <w:uiPriority w:val="29"/>
    <w:rsid w:val="00B3748D"/>
    <w:rPr>
      <w:i/>
      <w:sz w:val="24"/>
      <w:szCs w:val="24"/>
    </w:rPr>
  </w:style>
  <w:style w:type="character" w:customStyle="1" w:styleId="HEADINGChar">
    <w:name w:val="HEADING Char"/>
    <w:link w:val="HEADING"/>
    <w:rsid w:val="000F33CF"/>
    <w:rPr>
      <w:rFonts w:ascii="Times New Roman" w:hAnsi="Times New Roman"/>
      <w:b/>
      <w:color w:val="005DA4"/>
      <w:sz w:val="24"/>
      <w:szCs w:val="24"/>
      <w:lang w:eastAsia="en-US"/>
    </w:rPr>
  </w:style>
  <w:style w:type="character" w:customStyle="1" w:styleId="MediumShading2-Accent3Char">
    <w:name w:val="Medium Shading 2 - Accent 3 Char"/>
    <w:link w:val="MediumShading2-Accent3"/>
    <w:uiPriority w:val="30"/>
    <w:rsid w:val="00B3748D"/>
    <w:rPr>
      <w:b/>
      <w:i/>
      <w:sz w:val="24"/>
    </w:rPr>
  </w:style>
  <w:style w:type="table" w:styleId="MediumShading1-Accent3">
    <w:name w:val="Medium Shading 1 Accent 3"/>
    <w:basedOn w:val="TableNormal"/>
    <w:link w:val="MediumShading1-Accent3Char"/>
    <w:uiPriority w:val="29"/>
    <w:rsid w:val="00B3748D"/>
    <w:rPr>
      <w:i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link w:val="MediumShading2-Accent3Char"/>
    <w:uiPriority w:val="30"/>
    <w:rsid w:val="00B3748D"/>
    <w:rPr>
      <w:b/>
      <w:i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259B6"/>
    <w:pPr>
      <w:jc w:val="left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59B6"/>
    <w:rPr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5259B6"/>
    <w:rPr>
      <w:vertAlign w:val="superscript"/>
    </w:rPr>
  </w:style>
  <w:style w:type="character" w:customStyle="1" w:styleId="apple-converted-space">
    <w:name w:val="apple-converted-space"/>
    <w:basedOn w:val="DefaultParagraphFont"/>
    <w:rsid w:val="008B5026"/>
  </w:style>
  <w:style w:type="character" w:customStyle="1" w:styleId="FootnoteTextChar1">
    <w:name w:val="Footnote Text Char1"/>
    <w:uiPriority w:val="99"/>
    <w:locked/>
    <w:rsid w:val="001D419A"/>
    <w:rPr>
      <w:lang w:val="pt-PT" w:eastAsia="it-IT" w:bidi="ar-SA"/>
    </w:rPr>
  </w:style>
  <w:style w:type="paragraph" w:styleId="NormalWeb">
    <w:name w:val="Normal (Web)"/>
    <w:basedOn w:val="Normal"/>
    <w:uiPriority w:val="99"/>
    <w:semiHidden/>
    <w:unhideWhenUsed/>
    <w:rsid w:val="003901D2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Style1">
    <w:name w:val="Style1"/>
    <w:basedOn w:val="EndnoteText"/>
    <w:qFormat/>
    <w:rsid w:val="00617099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00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dps.europ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ps.europa.eu/sites/edp/files/publication/19-04-02_edps_opinion_budapest_convention_en.pdf" TargetMode="External"/><Relationship Id="rId1" Type="http://schemas.openxmlformats.org/officeDocument/2006/relationships/hyperlink" Target="https://edps.europa.eu/sites/edp/files/publication/19-04-02_edps_opinion_on_eu_us_agreement_on_e-evidence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Amanda Joyce"/>
    <f:field ref="casefile_EDPSOM_103_3700_FieldCaseNumber" par="" text="2019-0881"/>
    <f:field ref="casefile_EDPSOM_103_3700_FieldTitle" par="" text="Passenger Name Record (PNR) data transfer negotiations with Japan"/>
    <f:field ref="casefile_EDPSOM_103_3700_FieldClass" par="" text="04.01.03 Consultation on international agreements"/>
    <f:field ref="casefile_EDPSOM_103_3700_FieldInitiator" par="" text="EDPS"/>
    <f:field ref="casefile_EDPSOM_103_3700_FieldInterinstitutional" par="" text=""/>
    <f:field ref="EDPSOM_103_3700_FieldSensitivity" par="" text="Normal"/>
    <f:field ref="EDPSOM_103_3700_FieldExternalRef" par="" text="" edit="true"/>
    <f:field ref="EDPSOM_103_3700_FieldDescription" par="" text="" edit="true"/>
    <f:field ref="objname" par="" text="Opinion_Recommendation_PNR_Japan_fin" edit="true"/>
    <f:field ref="objsubject" par="" text="" edit="true"/>
    <f:field ref="objcreatedby" par="" text="Angelov, Plamen"/>
    <f:field ref="objcreatedat" par="" date="2019-10-24T10:39:03" text="Oct 24, 2019 10:39:03 AM"/>
    <f:field ref="objchangedby" par="" text="Angelov, Plamen"/>
    <f:field ref="objmodifiedat" par="" date="2019-10-24T16:47:31" text="Oct 24, 2019 4:47:31 PM"/>
  </f:record>
  <f:display par="" text="Mail Merge">
    <f:field ref="doc_FSCFOLIO_1_1001_FieldDocumentNumber" text="Document Number"/>
    <f:field ref="doc_FSCFOLIO_1_1001_FieldSubject" text="Subject"/>
  </f:display>
  <f:display par="" text="Signatures">
    <f:field ref="FSCFOLIO_1_1001_SignaturesFldCtx_FSCFOLIO_1_1001_FieldLastSignature" text="Last Signature"/>
    <f:field ref="FSCFOLIO_1_1001_SignaturesFldCtx_FSCFOLIO_1_1001_FieldLastSignatureBy" text="Last Signature By"/>
    <f:field ref="FSCFOLIO_1_1001_SignaturesFldCtx_FSCFOLIO_1_1001_FieldLastSignatureAt" text="Last Signature on/at"/>
    <f:field ref="FSCFOLIO_1_1001_SignaturesFldCtx_FSCFOLIO_1_1001_FieldLastSignatureRemark" text="Remark of Last Signature"/>
  </f:display>
  <f:display par="" text="General">
    <f:field ref="FSCFOLIO_1_1001_FieldCurrentUser" text="Current User"/>
    <f:field ref="EDPSOM_103_3700_FieldSensitivity" text="Sensitivity"/>
    <f:field ref="EDPSOM_103_3700_FieldExternalRef" text="Sender's reference"/>
    <f:field ref="EDPSOM_103_3700_FieldDescription" text="Description"/>
    <f:field ref="objname" text="Name"/>
    <f:field ref="objsubject" text="Subject"/>
    <f:field ref="objcreatedby" text="Created by"/>
    <f:field ref="objcreatedat" text="Created on/at"/>
    <f:field ref="objchangedby" text="Last Change by"/>
    <f:field ref="objmodifiedat" text="Last Change on/at"/>
  </f:display>
  <f:display par="" text="Case file">
    <f:field ref="casefile_EDPSOM_103_3700_FieldCaseNumber" text="Case number"/>
    <f:field ref="casefile_EDPSOM_103_3700_FieldTitle" text="Title"/>
    <f:field ref="casefile_EDPSOM_103_3700_FieldClass" text="Class"/>
    <f:field ref="casefile_EDPSOM_103_3700_FieldInitiator" text="Initiator"/>
    <f:field ref="casefile_EDPSOM_103_3700_FieldInterinstitutional" text="Interinstitutional numb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5AAFCA-DA71-4129-B4CA-1A4FDEB17B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1EBDA6-3349-4D3D-9E6C-8E948C36F4E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8</ap:TotalTime>
  <ap:Pages>1</ap:Pages>
  <ap:Words>1648</ap:Words>
  <ap:Characters>9398</ap:Characters>
  <ap:Application>Microsoft Office Word</ap:Application>
  <ap:DocSecurity>0</ap:DocSecurity>
  <ap:Lines>78</ap:Lines>
  <ap:Paragraphs>22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CDT</ap:Company>
  <ap:LinksUpToDate>false</ap:LinksUpToDate>
  <ap:CharactersWithSpaces>11024</ap:CharactersWithSpaces>
  <ap:SharedDoc>false</ap:SharedDoc>
  <ap:HLinks>
    <vt:vector baseType="variant" size="222"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_Toc418070558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_Toc418070557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_Toc418070556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_Toc418070555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_Toc418070554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_Toc418070553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_Toc418070552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_Toc418070551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_Toc418070550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_Toc418070549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_Toc418070548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_Toc418070547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_Toc418070546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_Toc418070545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_Toc418070544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_Toc418070543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_Toc418070542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_Toc418070541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_Toc418070540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_Toc418070539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_Toc418070538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_Toc418070537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_Toc418070536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_Toc418070535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_Toc418070534</vt:lpwstr>
      </vt:variant>
      <vt:variant>
        <vt:i4>2686982</vt:i4>
      </vt:variant>
      <vt:variant>
        <vt:i4>33</vt:i4>
      </vt:variant>
      <vt:variant>
        <vt:i4>0</vt:i4>
      </vt:variant>
      <vt:variant>
        <vt:i4>5</vt:i4>
      </vt:variant>
      <vt:variant>
        <vt:lpwstr>http://idpc.gov.mt/dbfile.aspx/Opinion3_2013.pdf</vt:lpwstr>
      </vt:variant>
      <vt:variant>
        <vt:lpwstr/>
      </vt:variant>
      <vt:variant>
        <vt:i4>524333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http://ec.europa.eu/justice/policies/privacy/docs/wpdocs/2010/wp169_en.pdf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http://ec.europa.eu/justice/data-protection/article-29/documentation/opinion-recommendation/index_en.htm</vt:lpwstr>
      </vt:variant>
      <vt:variant>
        <vt:lpwstr/>
      </vt:variant>
      <vt:variant>
        <vt:i4>6</vt:i4>
      </vt:variant>
      <vt:variant>
        <vt:i4>24</vt:i4>
      </vt:variant>
      <vt:variant>
        <vt:i4>0</vt:i4>
      </vt:variant>
      <vt:variant>
        <vt:i4>5</vt:i4>
      </vt:variant>
      <vt:variant>
        <vt:lpwstr>https://secure.edps.europa.eu/EDPSWEB/edps/EDPS/IPEN</vt:lpwstr>
      </vt:variant>
      <vt:variant>
        <vt:lpwstr/>
      </vt:variant>
      <vt:variant>
        <vt:i4>6619210</vt:i4>
      </vt:variant>
      <vt:variant>
        <vt:i4>21</vt:i4>
      </vt:variant>
      <vt:variant>
        <vt:i4>0</vt:i4>
      </vt:variant>
      <vt:variant>
        <vt:i4>5</vt:i4>
      </vt:variant>
      <vt:variant>
        <vt:lpwstr>http://www.enisa.europa.eu/activities/Resilience-and-CIIP/critical-applications/smartphone-security-1/smartphone-secure-development-guidelines/at_download/fullReport</vt:lpwstr>
      </vt:variant>
      <vt:variant>
        <vt:lpwstr/>
      </vt:variant>
      <vt:variant>
        <vt:i4>2818081</vt:i4>
      </vt:variant>
      <vt:variant>
        <vt:i4>18</vt:i4>
      </vt:variant>
      <vt:variant>
        <vt:i4>0</vt:i4>
      </vt:variant>
      <vt:variant>
        <vt:i4>5</vt:i4>
      </vt:variant>
      <vt:variant>
        <vt:lpwstr>https://wcd.coe.int/ViewDoc.jsp?id=1710949</vt:lpwstr>
      </vt:variant>
      <vt:variant>
        <vt:lpwstr/>
      </vt:variant>
      <vt:variant>
        <vt:i4>7471151</vt:i4>
      </vt:variant>
      <vt:variant>
        <vt:i4>15</vt:i4>
      </vt:variant>
      <vt:variant>
        <vt:i4>0</vt:i4>
      </vt:variant>
      <vt:variant>
        <vt:i4>5</vt:i4>
      </vt:variant>
      <vt:variant>
        <vt:lpwstr>http://online.wsj.com/article/SB10001424052748704694004576020083703574602.html</vt:lpwstr>
      </vt:variant>
      <vt:variant>
        <vt:lpwstr/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http://ec.europa.eu/justice/data-protection/article-29/documentation/other-document/files/2015/20150205_letter_art29wp_ec_health_data_after_plenary_en.pdf</vt:lpwstr>
      </vt:variant>
      <vt:variant>
        <vt:lpwstr/>
      </vt:variant>
      <vt:variant>
        <vt:i4>6291531</vt:i4>
      </vt:variant>
      <vt:variant>
        <vt:i4>9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http://ec.europa.eu/justice/data-protection/article-29/documentation/opinion-recommendation/files/2014/wp216_en.pdf</vt:lpwstr>
      </vt:variant>
      <vt:variant>
        <vt:lpwstr/>
      </vt:variant>
      <vt:variant>
        <vt:i4>786469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http://ec.europa.eu/justice/policies/privacy/docs/wpdocs/2007/wp136_en.pdf</vt:lpwstr>
      </vt:variant>
      <vt:variant>
        <vt:lpwstr/>
      </vt:variant>
      <vt:variant>
        <vt:i4>4522036</vt:i4>
      </vt:variant>
      <vt:variant>
        <vt:i4>3</vt:i4>
      </vt:variant>
      <vt:variant>
        <vt:i4>0</vt:i4>
      </vt:variant>
      <vt:variant>
        <vt:i4>5</vt:i4>
      </vt:variant>
      <vt:variant>
        <vt:lpwstr>https://secure.edps.europa.eu/EDPSWEB/webdav/site/mySite/shared/Documents/Consultation/Thematic%20Guidelines/14-11-25_Financial_Guidelines_EN.pdf</vt:lpwstr>
      </vt:variant>
      <vt:variant>
        <vt:lpwstr/>
      </vt:variant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http://ec.europa.eu/justice/data-protection/article-29/documentation/opinion-recommendation/files/2013/wp202_en.pdf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CDT</dc:creator>
  <lastModifiedBy>CDT</lastModifiedBy>
  <revision>12</revision>
  <lastPrinted>2019-10-24T14:21:00.0000000Z</lastPrinted>
  <dcterms:created xsi:type="dcterms:W3CDTF">2019-10-25T09:45:00.0000000Z</dcterms:created>
  <dcterms:modified xsi:type="dcterms:W3CDTF">2019-11-08T13:46:00.0000000Z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DPSOM@103.3700:edpscasenumber">
    <vt:lpwstr>2019-0881</vt:lpwstr>
  </property>
  <property fmtid="{D5CDD505-2E9C-101B-9397-08002B2CF9AE}" pid="3" name="FSC#EDPSOM@103.3700:edpscasetitle">
    <vt:lpwstr>Passenger Name Record (PNR) data transfer negotiations with Japan</vt:lpwstr>
  </property>
  <property fmtid="{D5CDD505-2E9C-101B-9397-08002B2CF9AE}" pid="4" name="FSC#EDPSOM@103.3700:edpscasedescription">
    <vt:lpwstr>Passenger Name Record (PNR) data transfer negotiations with Japan</vt:lpwstr>
  </property>
  <property fmtid="{D5CDD505-2E9C-101B-9397-08002B2CF9AE}" pid="5" name="FSC#EDPSOM@103.3700:edpsarrivalnumber">
    <vt:lpwstr/>
  </property>
  <property fmtid="{D5CDD505-2E9C-101B-9397-08002B2CF9AE}" pid="6" name="FSC#EDPSOM@103.3700:edpsdeparturenumber">
    <vt:lpwstr/>
  </property>
  <property fmtid="{D5CDD505-2E9C-101B-9397-08002B2CF9AE}" pid="7" name="FSC#COOSYSTEM@1.1:Container">
    <vt:lpwstr>COO.6515.100.4.380260</vt:lpwstr>
  </property>
  <property fmtid="{D5CDD505-2E9C-101B-9397-08002B2CF9AE}" pid="8" name="FSC#FSCFOLIO@1.1001:docpropproject">
    <vt:lpwstr/>
  </property>
</Properties>
</file>