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5A8F" w:rsidR="00993934" w:rsidP="00306297" w:rsidRDefault="00993934" w14:paraId="3AA01DBC" w14:textId="7167B3F8">
      <w:pPr>
        <w:rPr>
          <w:b/>
          <w:i/>
        </w:rPr>
      </w:pPr>
      <w:r w:rsidRPr="00C75A8F">
        <w:rPr>
          <w:b/>
        </w:rPr>
        <w:t>Zhrnutie stanoviska európskeho dozorného úradníka pre ochranu údajov o mandáte na rokovanie o dohode medzi EÚ a Japonskom o prenose a využívaní údajov zo záznamov o cestujúcich</w:t>
      </w:r>
    </w:p>
    <w:p w:rsidRPr="00C75A8F" w:rsidR="00993934" w:rsidP="00306297" w:rsidRDefault="00993934" w14:paraId="3B817892" w14:textId="77777777">
      <w:pPr>
        <w:rPr>
          <w:i/>
        </w:rPr>
      </w:pPr>
    </w:p>
    <w:p w:rsidRPr="00C75A8F" w:rsidR="00993934" w:rsidP="00993934" w:rsidRDefault="00993934" w14:paraId="2E31B8C9" w14:textId="77777777">
      <w:pPr>
        <w:rPr>
          <w:i/>
        </w:rPr>
      </w:pPr>
      <w:r w:rsidRPr="00C75A8F">
        <w:rPr>
          <w:i/>
        </w:rPr>
        <w:t xml:space="preserve">(Úplné znenie tohto stanoviska je k dispozícii v anglickom, francúzskom a nemeckom jazyku na webovom sídle európskeho dozorného úradníka pre ochranu údajov </w:t>
      </w:r>
      <w:hyperlink w:history="1" r:id="rId10">
        <w:r w:rsidRPr="00C75A8F">
          <w:rPr>
            <w:rStyle w:val="Hyperlink"/>
            <w:i/>
          </w:rPr>
          <w:t>www.edps.europa.eu</w:t>
        </w:r>
      </w:hyperlink>
      <w:r w:rsidRPr="00C75A8F">
        <w:rPr>
          <w:i/>
        </w:rPr>
        <w:t>)</w:t>
      </w:r>
    </w:p>
    <w:p w:rsidRPr="00C75A8F" w:rsidR="00993934" w:rsidP="00306297" w:rsidRDefault="00993934" w14:paraId="56FC0468" w14:textId="77777777">
      <w:pPr>
        <w:rPr>
          <w:b/>
          <w:color w:val="005DA4"/>
        </w:rPr>
      </w:pPr>
    </w:p>
    <w:p w:rsidRPr="00C75A8F" w:rsidR="0010766F" w:rsidP="00993934" w:rsidRDefault="0010766F" w14:paraId="22479FE6" w14:textId="5A1B18ED">
      <w:pPr>
        <w:spacing w:after="200"/>
      </w:pPr>
      <w:r w:rsidRPr="00C75A8F">
        <w:t>Európska komisia 27. septembra 2019 prijala odporúčanie na rozhodnutie Rady o poverení začať rokovania o dohode medzi Európskou úniou a Japonskom o prenose a využívaní údajov zo záznamov o cestujúcich (PNR) s cieľom predchádzať terorizmu a inej závažnej cezhraničnej trestnej činnosti a bojovať proti nim. Cieľom tejto plánovanej dohody je stanoviť právny základ a podmienky, za ktorých sa leteckým dopravcom povolí prenášať do Japonska údaje z PNR na letoch medzi EÚ a Japonskom, v súlade s požiadavkami práva EÚ vrátane Charty základných práv EÚ.</w:t>
      </w:r>
    </w:p>
    <w:p w:rsidRPr="00C75A8F" w:rsidR="00303072" w:rsidP="00993934" w:rsidRDefault="00303072" w14:paraId="75FC61D9" w14:textId="556B0E90">
      <w:pPr>
        <w:spacing w:after="200"/>
      </w:pPr>
      <w:r w:rsidRPr="00C75A8F">
        <w:t>EDPS víta skutočnosť, že cieľom mandátu na rokovanie je zabezpečiť úplné dodržiavanie základných práv a slobôd zakotvených v článku 7 a článku 8 Charty základných práv EÚ, ako aj zásad nevyhnutnosti a proporcionality, ako ich vykladá Súdny dvor vo svojom stanovisku 1/15 k dohode o PNR medzi EÚ a Kanadou.</w:t>
      </w:r>
    </w:p>
    <w:p w:rsidRPr="00C75A8F" w:rsidR="0010766F" w:rsidP="00993934" w:rsidRDefault="00FC1F8F" w14:paraId="67D55334" w14:textId="3CE3783A">
      <w:pPr>
        <w:spacing w:after="200"/>
      </w:pPr>
      <w:r w:rsidRPr="00C75A8F">
        <w:t>Vzhľadom na vplyv plánovanej dohody na základné práva veľkého počtu jednotlivcov, ktorí nie sú zapojení do trestnej činnosti, sa EDPS domnieva, že by mala obsahovať všetky potrebné vecné a procesné záruky na zabezpečenie proporcionality systému PNR a obmedzenie zasahovania do práva na súkromie a ochranu údajov len na to, čo je prísne nevyhnutné a odôvodnené všeobecným záujmom Únie. EDPS na tento účel vydáva viacero odporúčaní na zlepšenie smerníc na rokovania, ako napríklad:</w:t>
      </w:r>
    </w:p>
    <w:p w:rsidRPr="00C75A8F" w:rsidR="00303072" w:rsidP="00993934" w:rsidRDefault="00303072" w14:paraId="7353752B" w14:textId="46C0C7A7">
      <w:pPr>
        <w:pStyle w:val="ListParagraph"/>
        <w:numPr>
          <w:ilvl w:val="0"/>
          <w:numId w:val="22"/>
        </w:numPr>
      </w:pPr>
      <w:r w:rsidRPr="00C75A8F">
        <w:t>prísny prístup, pokiaľ ide o nevyhnutnosť a proporcionalitu systému PNR,</w:t>
      </w:r>
    </w:p>
    <w:p w:rsidRPr="00C75A8F" w:rsidR="00F5794D" w:rsidP="00993934" w:rsidRDefault="00303072" w14:paraId="78BEFD50" w14:textId="07DBD786">
      <w:pPr>
        <w:pStyle w:val="ListParagraph"/>
        <w:numPr>
          <w:ilvl w:val="0"/>
          <w:numId w:val="22"/>
        </w:numPr>
      </w:pPr>
      <w:r w:rsidRPr="00C75A8F">
        <w:t>v súlade so zásadou obmedzenia účelu by akékoľvek ďalšie využívanie prenesených údajov z PNR na iné účely malo byť veľmi dobre odôvodnené, jasne a presne vymedzené a obmedzené na to, čo je nevyhnutne potrebné,</w:t>
      </w:r>
    </w:p>
    <w:p w:rsidRPr="00C75A8F" w:rsidR="00303072" w:rsidP="00993934" w:rsidRDefault="00303072" w14:paraId="30AE3CA2" w14:textId="08E13F22">
      <w:pPr>
        <w:pStyle w:val="ListParagraph"/>
        <w:numPr>
          <w:ilvl w:val="0"/>
          <w:numId w:val="22"/>
        </w:numPr>
      </w:pPr>
      <w:r w:rsidRPr="00C75A8F">
        <w:t>rozhodnutie Rady o poverení začať rokovania by malo obsahovať odkaz nielen na procesnoprávny základ, ale aj na hmotnoprávny základ vrátane článku 16 ZFEÚ,</w:t>
      </w:r>
    </w:p>
    <w:p w:rsidRPr="00C75A8F" w:rsidR="00F5794D" w:rsidP="00993934" w:rsidRDefault="00303072" w14:paraId="5208CF56" w14:textId="6CE040D8">
      <w:pPr>
        <w:pStyle w:val="ListParagraph"/>
        <w:numPr>
          <w:ilvl w:val="0"/>
          <w:numId w:val="22"/>
        </w:numPr>
      </w:pPr>
      <w:r w:rsidRPr="00C75A8F">
        <w:t xml:space="preserve">osobitná pozornosť by sa mala venovať predchádzaniu riziku nepriameho odhalenia osobitných kategórií údajov o cestujúcich v leteckej doprave, ako aj riziku opätovnej identifikácie jednotlivcov po </w:t>
      </w:r>
      <w:proofErr w:type="spellStart"/>
      <w:r w:rsidRPr="00C75A8F">
        <w:t>anonymizácii</w:t>
      </w:r>
      <w:proofErr w:type="spellEnd"/>
      <w:r w:rsidRPr="00C75A8F">
        <w:t xml:space="preserve"> údajov z PNR, ktoré sa ich týkajú,</w:t>
      </w:r>
    </w:p>
    <w:p w:rsidRPr="00C75A8F" w:rsidR="009A64EB" w:rsidP="00993934" w:rsidRDefault="009A64EB" w14:paraId="3706F806" w14:textId="327024A2">
      <w:pPr>
        <w:pStyle w:val="ListParagraph"/>
        <w:numPr>
          <w:ilvl w:val="0"/>
          <w:numId w:val="22"/>
        </w:numPr>
        <w:spacing w:after="200"/>
      </w:pPr>
      <w:r w:rsidRPr="00C75A8F">
        <w:t>v plánovanej dohode by mali byť zahrnuté ustanovenia umožňujúce jej pozastavenie v prípade porušenia jej pravidiel, ako aj ustanovenia o ukončení dohody, ak je nedodržiavanie pravidiel závažné a pretrváva.</w:t>
      </w:r>
    </w:p>
    <w:p w:rsidRPr="00C75A8F" w:rsidR="0010766F" w:rsidP="00993934" w:rsidRDefault="0010766F" w14:paraId="2165D998" w14:textId="3B8E35C4">
      <w:pPr>
        <w:spacing w:after="200"/>
      </w:pPr>
      <w:r w:rsidRPr="00C75A8F">
        <w:t>V tomto stanovisku sa uvádzajú ďalšie podrobnejšie odporúčania, ktoré predložil EDPS.</w:t>
      </w:r>
    </w:p>
    <w:p w:rsidRPr="00C75A8F" w:rsidR="006031EC" w:rsidP="00993934" w:rsidRDefault="0010766F" w14:paraId="5B5966C5" w14:textId="20FEC9B7">
      <w:pPr>
        <w:spacing w:after="200"/>
      </w:pPr>
      <w:r w:rsidRPr="00C75A8F">
        <w:t>Európsky dozorný úradník pre ochranu údajov ostáva inštitúciám k dispozícii na poskytnutie ďalšieho poradenstva počas rokovaní. Očakáva tiež, že v neskorších fázach finalizácie návrhu dohody budú s ním viesť konzultácie v súlade s článkom 42 nariadenia (EÚ) 2018/1725.</w:t>
      </w:r>
    </w:p>
    <w:p w:rsidRPr="00C75A8F" w:rsidR="006031EC" w:rsidRDefault="006031EC" w14:paraId="698D4805" w14:textId="77777777">
      <w:pPr>
        <w:jc w:val="left"/>
      </w:pPr>
      <w:r w:rsidRPr="00C75A8F">
        <w:br w:type="page"/>
      </w:r>
    </w:p>
    <w:p w:rsidRPr="00C75A8F" w:rsidR="002B4019" w:rsidP="00993934" w:rsidRDefault="006A20B1" w14:paraId="7E3E9A85" w14:textId="25B99B66">
      <w:pPr>
        <w:pStyle w:val="Heading1"/>
        <w:keepLines/>
        <w:numPr>
          <w:ilvl w:val="0"/>
          <w:numId w:val="2"/>
        </w:numPr>
        <w:spacing w:after="200"/>
        <w:jc w:val="both"/>
        <w:rPr>
          <w:sz w:val="32"/>
          <w:szCs w:val="32"/>
        </w:rPr>
      </w:pPr>
      <w:bookmarkStart w:name="_Toc425509692" w:id="0"/>
      <w:r w:rsidRPr="00C75A8F">
        <w:rPr>
          <w:sz w:val="32"/>
          <w:szCs w:val="32"/>
        </w:rPr>
        <w:lastRenderedPageBreak/>
        <w:tab/>
      </w:r>
      <w:bookmarkStart w:name="_Toc22124185" w:id="1"/>
      <w:r w:rsidRPr="00C75A8F">
        <w:rPr>
          <w:sz w:val="32"/>
          <w:szCs w:val="32"/>
        </w:rPr>
        <w:t>ÚVOD A SÚVISLOSTI</w:t>
      </w:r>
      <w:bookmarkEnd w:id="1"/>
    </w:p>
    <w:p w:rsidRPr="00C75A8F" w:rsidR="009F5880" w:rsidP="00EA1EA1" w:rsidRDefault="00040910" w14:paraId="2EE4956E" w14:textId="77777777">
      <w:pPr>
        <w:pStyle w:val="ListParagraph"/>
        <w:numPr>
          <w:ilvl w:val="0"/>
          <w:numId w:val="11"/>
        </w:numPr>
        <w:spacing w:after="240"/>
      </w:pPr>
      <w:r w:rsidRPr="00C75A8F">
        <w:t xml:space="preserve">Európska komisia 27. septembra 2019 prijala odporúčanie na rozhodnutie Rady o poverení začať rokovania o dohode medzi Európskou úniou a Japonskom o prenose a využívaní údajov zo záznamov o cestujúcich (PNR) s cieľom predchádzať terorizmu a inej závažnej cezhraničnej trestnej činnosti a bojovať proti nim. V prílohe k odporúčaniu (ďalej len „príloha“) sa stanovujú smernice Rady na rokovania pre Komisiu, </w:t>
      </w:r>
      <w:r w:rsidRPr="00C75A8F">
        <w:rPr>
          <w:i/>
        </w:rPr>
        <w:t>t. j.</w:t>
      </w:r>
      <w:r w:rsidRPr="00C75A8F">
        <w:t xml:space="preserve"> ciele, na dosiahnutie ktorých by sa Komisia v mene EÚ mala v priebehu rokovaní zamerať.</w:t>
      </w:r>
    </w:p>
    <w:p w:rsidRPr="00C75A8F" w:rsidR="00EA1EA1" w:rsidP="00EA1EA1" w:rsidRDefault="00EA1EA1" w14:paraId="12455888" w14:textId="77777777">
      <w:pPr>
        <w:pStyle w:val="ListParagraph"/>
        <w:spacing w:after="240"/>
        <w:ind w:left="360"/>
      </w:pPr>
    </w:p>
    <w:p w:rsidRPr="00C75A8F" w:rsidR="006405EF" w:rsidP="00EA1EA1" w:rsidRDefault="009A3AD5" w14:paraId="09621C65" w14:textId="77777777">
      <w:pPr>
        <w:pStyle w:val="ListParagraph"/>
        <w:numPr>
          <w:ilvl w:val="0"/>
          <w:numId w:val="11"/>
        </w:numPr>
        <w:spacing w:after="200"/>
      </w:pPr>
      <w:r w:rsidRPr="00C75A8F">
        <w:t>Odporúčanie bolo prijaté na základe postupu stanoveného v článku 218 Zmluvy o fungovaní Európskej únie (ZFEÚ) pre dohody uzatvárané medzi EÚ a tretími krajinami. V tomto odporúčaní sa Komisia snaží získať povolenie od Rady na jej vymenovanie za vyjednávača v mene EÚ a začatie rokovaní s Japonskom a to v súlade s mandátom na rokovanie. Aby sa dohoda mohla uzavrieť, po ukončení rokovaní musí najprv Európsky parlament schváliť znenie dohody, ktoré bolo predmetom rokovaní, a potom musí Rada prijať rozhodnutie o jej uzatvorení.</w:t>
      </w:r>
    </w:p>
    <w:p w:rsidRPr="00C75A8F" w:rsidR="00EA1EA1" w:rsidP="00EA1EA1" w:rsidRDefault="00EA1EA1" w14:paraId="13E81102" w14:textId="77777777">
      <w:pPr>
        <w:pStyle w:val="ListParagraph"/>
        <w:spacing w:after="200"/>
        <w:ind w:left="360"/>
      </w:pPr>
    </w:p>
    <w:p w:rsidRPr="00C75A8F" w:rsidR="002B4019" w:rsidP="002B4019" w:rsidRDefault="002B4019" w14:paraId="2E5EB1F7" w14:textId="5F10BE0D">
      <w:pPr>
        <w:numPr>
          <w:ilvl w:val="0"/>
          <w:numId w:val="11"/>
        </w:numPr>
        <w:spacing w:after="200"/>
      </w:pPr>
      <w:r w:rsidRPr="00C75A8F">
        <w:t>Právnym rámcom na spracúvanie údajov z PNR v EÚ je smernica Európskeho parlamentu a Rady (EÚ) 2016/681 o využívaní údajov zo záznamov o cestujúcich (PNR) na účely prevencie, odhaľovania, vyšetrovania a stíhania teroristických trestných činov a závažnej trestnej činnosti (smernica o PNR), ktorá bola prijatá 27. apríla 2016. Členské štáty boli povinné uviesť do účinnosti zákony, iné právne predpisy a správne opatrenia potrebné na dosiahnutie súladu s touto smernicou do 25. mája 2018. Európska komisia musí vykonať prvé preskúmanie smernice o PNR do 25. mája 2020.</w:t>
      </w:r>
    </w:p>
    <w:p w:rsidRPr="00C75A8F" w:rsidR="002B4019" w:rsidP="002B4019" w:rsidRDefault="002B4019" w14:paraId="3F092345" w14:textId="6A150440">
      <w:pPr>
        <w:numPr>
          <w:ilvl w:val="0"/>
          <w:numId w:val="11"/>
        </w:numPr>
        <w:spacing w:after="200"/>
      </w:pPr>
      <w:r w:rsidRPr="00C75A8F">
        <w:t>V súčasnosti existujú dve platné medzinárodné dohody medzi EÚ a tretími krajinami o spracúvaní a prenose údajov z PNR – s Austráliou</w:t>
      </w:r>
      <w:r w:rsidRPr="00C75A8F">
        <w:rPr>
          <w:vertAlign w:val="superscript"/>
        </w:rPr>
        <w:endnoteReference w:id="1"/>
      </w:r>
      <w:r w:rsidRPr="00C75A8F">
        <w:t xml:space="preserve"> a so Spojenými štátmi</w:t>
      </w:r>
      <w:r w:rsidRPr="00C75A8F">
        <w:rPr>
          <w:vertAlign w:val="superscript"/>
        </w:rPr>
        <w:endnoteReference w:id="2"/>
      </w:r>
      <w:r w:rsidRPr="00C75A8F">
        <w:t>, v obidvoch prípadoch z roku 2011. Na žiadosť Európskeho parlamentu prijal Súdny dvor Európskej únie podľa článku 218 ods. 11 ZFEÚ stanovisko 1/15 z 26. júla 2017</w:t>
      </w:r>
      <w:r w:rsidRPr="00C75A8F">
        <w:rPr>
          <w:vertAlign w:val="superscript"/>
        </w:rPr>
        <w:endnoteReference w:id="3"/>
      </w:r>
      <w:r w:rsidRPr="00C75A8F">
        <w:t xml:space="preserve"> k plánovanej dohode medzi EÚ a Kanadou o prenose a spracúvaní údajov z PNR, ktorá bola podpísaná 25. júna 2014. Súdny dvor dospel k záveru, že dohoda je nezlučiteľná s článkami 7, 8 a 21 a článkom 52 ods. 1 Charty základných práv EÚ (ďalej len „charta“), keďže nevylučuje prenos citlivých údajov z Európskej únie do Kanady ani ich využívanie a uchovávanie. Súdny dvor okrem toho stanovil viacero podmienok a záruk pre zákonné spracúvanie a prenos údajov z PNR. Na základe stanoviska 1/15 sa v júni 2018 začali nové rokovania o PNR s Kanadou, ktoré sú podľa Komisie v konečnom štádiu.</w:t>
      </w:r>
    </w:p>
    <w:p w:rsidRPr="00C75A8F" w:rsidR="002B4019" w:rsidP="002B4019" w:rsidRDefault="002B4019" w14:paraId="3BCB6E76" w14:textId="64566B27">
      <w:pPr>
        <w:numPr>
          <w:ilvl w:val="0"/>
          <w:numId w:val="11"/>
        </w:numPr>
        <w:spacing w:after="200"/>
      </w:pPr>
      <w:r w:rsidRPr="00C75A8F">
        <w:t>Na celosvetovej úrovni sa otázka údajov z PNR rieši v Dohovore o medzinárodnom civilnom letectve (ďalej len „Chicagský dohovor“) z roku 1947, v ktorom sa upravuje medzinárodná letecká doprava a zriaďuje Medzinárodná organizácia civilného letectva (ICAO). Rada ICAO prijala štandardy a odporúčania týkajúce sa PNR, ktoré sú súčasťou prílohy 9 („Zjednodušenie“) k Chicagskému dohovoru. Dopĺňajú ich ďalšie usmernenia, najmä dokument ICAO č. 9944, v ktorom sa stanovujú „Usmernenia o údajoch zo záznamov o cestujúcich (PNR)“</w:t>
      </w:r>
      <w:r w:rsidRPr="00C75A8F">
        <w:rPr>
          <w:vertAlign w:val="superscript"/>
        </w:rPr>
        <w:endnoteReference w:id="4"/>
      </w:r>
      <w:r w:rsidRPr="00C75A8F">
        <w:t>. Všetky členské štáty EÚ sú zmluvnými stranami Chicagského dohovoru.</w:t>
      </w:r>
    </w:p>
    <w:p w:rsidRPr="00C75A8F" w:rsidR="002B4019" w:rsidP="002B4019" w:rsidRDefault="002B4019" w14:paraId="2F2B7C49" w14:textId="6025F76D">
      <w:pPr>
        <w:numPr>
          <w:ilvl w:val="0"/>
          <w:numId w:val="11"/>
        </w:numPr>
        <w:spacing w:after="200"/>
      </w:pPr>
      <w:r w:rsidRPr="00C75A8F">
        <w:t>Okrem toho sa v rezolúcii Bezpečnostnej rady OSN 2396 (2017) o hrozbách pre medzinárodný mier a bezpečnosť v dôsledku návratu zahraničných teroristických bojovníkov, prijatej 21. decembra 2017, od členských štátov OSN vyžaduje, aby „</w:t>
      </w:r>
      <w:r w:rsidRPr="00C75A8F">
        <w:rPr>
          <w:i/>
        </w:rPr>
        <w:t xml:space="preserve">na základe štandardov a odporúčaní ICAO vybudovali kapacity na zhromažďovanie, </w:t>
      </w:r>
      <w:r w:rsidRPr="00C75A8F">
        <w:rPr>
          <w:i/>
        </w:rPr>
        <w:lastRenderedPageBreak/>
        <w:t>spracúvanie a analýzu údajov zo záznamov o cestujúcich (PNR) a aby všetky ich príslušné vnútroštátne orgány využívali a navzájom si vymieňali údaje z PNR pri plnom dodržiavaní ľudských práv a základných slobôd</w:t>
      </w:r>
      <w:r w:rsidRPr="00C75A8F">
        <w:t>“ ako aj „</w:t>
      </w:r>
      <w:r w:rsidRPr="00C75A8F">
        <w:rPr>
          <w:i/>
        </w:rPr>
        <w:t>v prípade potreby sú členské štáty nabádané, aby si vymieňali údaje z PNR s príslušnými alebo dotknutými členskými štátmi s cieľom odhaľovať zahraničných teroristických bojovníkov“</w:t>
      </w:r>
      <w:r w:rsidRPr="00C75A8F">
        <w:rPr>
          <w:vertAlign w:val="superscript"/>
        </w:rPr>
        <w:endnoteReference w:id="5"/>
      </w:r>
      <w:r w:rsidRPr="00C75A8F">
        <w:rPr>
          <w:i/>
        </w:rPr>
        <w:t>.</w:t>
      </w:r>
    </w:p>
    <w:p w:rsidRPr="00C75A8F" w:rsidR="00875FA8" w:rsidP="00A06782" w:rsidRDefault="00875FA8" w14:paraId="138A6904" w14:textId="59B17399">
      <w:pPr>
        <w:numPr>
          <w:ilvl w:val="0"/>
          <w:numId w:val="11"/>
        </w:numPr>
      </w:pPr>
      <w:r w:rsidRPr="00C75A8F">
        <w:t>EDPS víta skutočnosť, že po prijatí odporúčania Európskou komisiou boli s ním vedené konzultácie a očakáva, že odkaz na toto stanovisko bude zahrnutý v preambule rozhodnutia Rady. Týmto stanoviskom nie sú dotknuté žiadne ďalšie pripomienky, ktoré by EDPS mohol predložiť na základe ďalších dostupných informácií v neskoršej fáze.</w:t>
      </w:r>
    </w:p>
    <w:p w:rsidRPr="00C75A8F" w:rsidR="00A06782" w:rsidP="00A06782" w:rsidRDefault="00A06782" w14:paraId="05B42449" w14:textId="652B1DE7">
      <w:pPr>
        <w:spacing w:after="200"/>
        <w:ind w:left="360"/>
      </w:pPr>
    </w:p>
    <w:p w:rsidRPr="00C75A8F" w:rsidR="00E515CF" w:rsidP="00E515CF" w:rsidRDefault="00E515CF" w14:paraId="6FD3076F" w14:textId="3C478248">
      <w:pPr>
        <w:pStyle w:val="Heading1"/>
        <w:keepLines/>
        <w:numPr>
          <w:ilvl w:val="0"/>
          <w:numId w:val="26"/>
        </w:numPr>
        <w:spacing w:after="200"/>
        <w:ind w:hanging="76"/>
        <w:jc w:val="both"/>
        <w:rPr>
          <w:sz w:val="32"/>
          <w:szCs w:val="32"/>
        </w:rPr>
      </w:pPr>
      <w:r w:rsidRPr="00C75A8F">
        <w:rPr>
          <w:sz w:val="32"/>
          <w:szCs w:val="32"/>
        </w:rPr>
        <w:t>ZÁVERY</w:t>
      </w:r>
    </w:p>
    <w:p w:rsidRPr="00C75A8F" w:rsidR="005F637D" w:rsidP="00993934" w:rsidRDefault="00E63C0D" w14:paraId="0082D7B4" w14:textId="5E735E7E">
      <w:pPr>
        <w:pStyle w:val="ListParagraph"/>
        <w:numPr>
          <w:ilvl w:val="0"/>
          <w:numId w:val="24"/>
        </w:numPr>
        <w:spacing w:after="120"/>
      </w:pPr>
      <w:r w:rsidRPr="00C75A8F">
        <w:t>EDPS víta skutočnosť, že cieľom mandátu na rokovanie je zabezpečiť úplné dodržiavanie základných práv a slobôd zakotvených v článku 7 a článku 8 charty, ako aj zásad nevyhnutnosti a proporcionality, ako ich vykladá Súdny dvor EÚ vo svojom stanovisku 1/15 k dohode o PNR medzi EÚ a Kanadou.</w:t>
      </w:r>
    </w:p>
    <w:p w:rsidRPr="00C75A8F" w:rsidR="009E77F4" w:rsidP="005F637D" w:rsidRDefault="009E77F4" w14:paraId="3699D3B5" w14:textId="07AC94CB">
      <w:pPr>
        <w:pStyle w:val="ListParagraph"/>
        <w:spacing w:after="120"/>
        <w:ind w:left="360"/>
      </w:pPr>
    </w:p>
    <w:p w:rsidRPr="00C75A8F" w:rsidR="005F637D" w:rsidP="00993934" w:rsidRDefault="000E427E" w14:paraId="4138C65E" w14:textId="02D4EBEB">
      <w:pPr>
        <w:pStyle w:val="ListParagraph"/>
        <w:numPr>
          <w:ilvl w:val="0"/>
          <w:numId w:val="24"/>
        </w:numPr>
        <w:spacing w:after="120"/>
      </w:pPr>
      <w:r w:rsidRPr="00C75A8F">
        <w:t>Vzhľadom na vplyv plánovanej dohody na základné práva veľkého počtu jednotlivcov, ktorí nie sú zapojení do trestnej činnosti, sa EDPS domnieva, že by budúca dohoda mala obsahovať všetky potrebné vecné a procesné záruky, ktoré by ako celok zabezpečovali proporcionalitu systému PNR a obmedzenie zasahovania do práva na súkromie a ochranu údajov len na to, čo je prísne nevyhnutné a odôvodnené všeobecným záujmom EÚ.</w:t>
      </w:r>
    </w:p>
    <w:p w:rsidRPr="00C75A8F" w:rsidR="00EE75CB" w:rsidP="00EE75CB" w:rsidRDefault="00EE75CB" w14:paraId="4D3B5E2E" w14:textId="77777777">
      <w:pPr>
        <w:pStyle w:val="ListParagraph"/>
        <w:spacing w:after="120"/>
        <w:ind w:left="360"/>
      </w:pPr>
    </w:p>
    <w:p w:rsidRPr="00C75A8F" w:rsidR="001D74A9" w:rsidP="00993934" w:rsidRDefault="002647CC" w14:paraId="3A1EDF30" w14:textId="0F0AA6B5">
      <w:pPr>
        <w:pStyle w:val="ListParagraph"/>
        <w:numPr>
          <w:ilvl w:val="0"/>
          <w:numId w:val="24"/>
        </w:numPr>
        <w:spacing w:after="120"/>
      </w:pPr>
      <w:r w:rsidRPr="00C75A8F">
        <w:t>Na tento účel EDPS ako hlavné odporúčanie zdôrazňuje potrebu prísneho prístupu, pokiaľ ide o nevyhnutnosť a proporcionalitu systému PNR. Okrem toho by sa osobitná pozornosť mala venovať praktickému vykonávaniu zásady obmedzenia účelu, pokiaľ ide o využívanie prenesených údajov z PNR. EDPS okrem toho opakovane uvádza pozíciu zo svojich predchádzajúcich stanovísk</w:t>
      </w:r>
      <w:r w:rsidRPr="00C75A8F" w:rsidR="000C2F0E">
        <w:rPr>
          <w:rStyle w:val="EndnoteReference"/>
        </w:rPr>
        <w:endnoteReference w:id="6"/>
      </w:r>
      <w:r w:rsidRPr="00C75A8F">
        <w:t>, že rozhodnutie Rady o poverení začať rokovania podľa článku 218 ZFEÚ, by malo obsahovať odkaz nielen na procesnoprávny základ, ale aj na príslušný hmotnoprávny základ, ktorý by mal zahŕňať článok 16 ZFEÚ.</w:t>
      </w:r>
    </w:p>
    <w:p w:rsidRPr="00C75A8F" w:rsidR="005F637D" w:rsidP="005F637D" w:rsidRDefault="005F637D" w14:paraId="4D650283" w14:textId="77777777">
      <w:pPr>
        <w:pStyle w:val="ListParagraph"/>
        <w:spacing w:after="120"/>
        <w:ind w:left="360"/>
      </w:pPr>
    </w:p>
    <w:p w:rsidRPr="00C75A8F" w:rsidR="00E63C0D" w:rsidP="00993934" w:rsidRDefault="00C94068" w14:paraId="371E3FC5" w14:textId="2869A23D">
      <w:pPr>
        <w:pStyle w:val="ListParagraph"/>
        <w:numPr>
          <w:ilvl w:val="0"/>
          <w:numId w:val="24"/>
        </w:numPr>
        <w:spacing w:after="120"/>
      </w:pPr>
      <w:r w:rsidRPr="00C75A8F">
        <w:t xml:space="preserve">Doplňujúce odporúčania EDPS v tomto stanovisku sa týkajú vhodného právneho rámca pre prenos operačných osobných údajov; potreby predchádzania riziku nepriameho odhalenia osobitných kategórií údajov o cestujúcich v leteckej doprave, ako aj riziku opätovnej identifikácie jednotlivcov po </w:t>
      </w:r>
      <w:proofErr w:type="spellStart"/>
      <w:r w:rsidRPr="00C75A8F">
        <w:t>anonymizácii</w:t>
      </w:r>
      <w:proofErr w:type="spellEnd"/>
      <w:r w:rsidRPr="00C75A8F">
        <w:t xml:space="preserve"> údajov z PNR, ktoré sa ich týkajú. EDPS zdôrazňuje aj potrebu objasniť nezávislý dohľad nad spracovaním údajov z PNR zo strany príslušných japonských orgánov, čo je jednou zo základných záruk práva na ochranu údajov. EDPS okrem toho odporúča zahrnutie ustanovení umožňujúcich pozastavenie budúcej dohody v prípade porušenia jej ustanovení, ako aj doložky o ukončení dohody, ak je nedodržiavanie ustanovení závažné a pretrváva.</w:t>
      </w:r>
    </w:p>
    <w:p w:rsidRPr="00C75A8F" w:rsidR="005F637D" w:rsidP="005F637D" w:rsidRDefault="005F637D" w14:paraId="1E813CCA" w14:textId="77777777">
      <w:pPr>
        <w:pStyle w:val="ListParagraph"/>
        <w:spacing w:after="120"/>
        <w:ind w:left="360"/>
      </w:pPr>
    </w:p>
    <w:p w:rsidRPr="00C75A8F" w:rsidR="00E63C0D" w:rsidP="00C75A8F" w:rsidRDefault="00036309" w14:paraId="5F05CB27" w14:textId="4BEF0729">
      <w:pPr>
        <w:pStyle w:val="ListParagraph"/>
        <w:pageBreakBefore/>
        <w:numPr>
          <w:ilvl w:val="0"/>
          <w:numId w:val="24"/>
        </w:numPr>
        <w:spacing w:after="120"/>
      </w:pPr>
      <w:r w:rsidRPr="00C75A8F">
        <w:lastRenderedPageBreak/>
        <w:t xml:space="preserve">EDPS zostáva aj naďalej k dispozícii Komisii, Rade a Európskemu parlamentu, pokiaľ ide o poskytovanie poradenstva v ďalších fázach tohto procesu. Pripomienky uvedené v tomto stanovisku nemajú vplyv na žiadne ďalšie pripomienky, ktoré by EDPS mohol predložiť v prípade ďalších otázok, ktoré sa budú riešiť po získaní ďalších informácií. V tomto zmysle EDPS očakáva, že pred finalizáciou návrhu dohody budú s ním vedené konzultácie o jeho ustanoveniach. </w:t>
      </w:r>
    </w:p>
    <w:p w:rsidRPr="00C75A8F" w:rsidR="00F92ABA" w:rsidP="000752FA" w:rsidRDefault="00F92ABA" w14:paraId="7C4F72BA" w14:textId="77777777">
      <w:pPr>
        <w:spacing w:after="120"/>
      </w:pPr>
    </w:p>
    <w:p w:rsidRPr="00C75A8F" w:rsidR="00486C67" w:rsidP="000752FA" w:rsidRDefault="00486C67" w14:paraId="0EF1486D" w14:textId="40D74E7B">
      <w:pPr>
        <w:spacing w:after="120"/>
      </w:pPr>
      <w:r w:rsidRPr="00C75A8F">
        <w:t>V Bruseli 25. októbra 2019</w:t>
      </w:r>
    </w:p>
    <w:p w:rsidRPr="00C75A8F" w:rsidR="00213E0C" w:rsidP="000752FA" w:rsidRDefault="00213E0C" w14:paraId="79AD5AB7" w14:textId="713345AF">
      <w:pPr>
        <w:spacing w:after="120"/>
        <w:rPr>
          <w:lang w:val="pl-PL"/>
        </w:rPr>
      </w:pPr>
    </w:p>
    <w:p w:rsidRPr="00C75A8F" w:rsidR="00213E0C" w:rsidP="000752FA" w:rsidRDefault="00213E0C" w14:paraId="57054E86" w14:textId="24C312FF">
      <w:pPr>
        <w:spacing w:after="120"/>
        <w:rPr>
          <w:lang w:val="pl-PL"/>
        </w:rPr>
      </w:pPr>
    </w:p>
    <w:p w:rsidRPr="00C75A8F" w:rsidR="00213E0C" w:rsidP="000752FA" w:rsidRDefault="00213E0C" w14:paraId="6ABC9993" w14:textId="4E695C25">
      <w:pPr>
        <w:spacing w:after="120"/>
        <w:rPr>
          <w:lang w:val="pl-PL"/>
        </w:rPr>
      </w:pPr>
    </w:p>
    <w:p w:rsidRPr="00C75A8F" w:rsidR="00213E0C" w:rsidP="000752FA" w:rsidRDefault="00213E0C" w14:paraId="3B00E25D" w14:textId="77777777">
      <w:pPr>
        <w:spacing w:after="120"/>
        <w:rPr>
          <w:lang w:val="pl-PL"/>
        </w:rPr>
      </w:pPr>
    </w:p>
    <w:bookmarkEnd w:id="0"/>
    <w:p w:rsidRPr="00C75A8F" w:rsidR="00F92ABA" w:rsidRDefault="00EA1EA1" w14:paraId="59744501" w14:textId="77777777">
      <w:pPr>
        <w:jc w:val="left"/>
        <w:rPr>
          <w:rFonts w:eastAsia="Adobe Gothic Std B"/>
          <w:b/>
          <w:bCs/>
          <w:color w:val="005DA4"/>
          <w:kern w:val="32"/>
          <w:sz w:val="32"/>
          <w:szCs w:val="32"/>
        </w:rPr>
      </w:pPr>
      <w:proofErr w:type="spellStart"/>
      <w:r w:rsidRPr="00C75A8F">
        <w:t>Wojciech</w:t>
      </w:r>
      <w:proofErr w:type="spellEnd"/>
      <w:r w:rsidRPr="00C75A8F">
        <w:t xml:space="preserve"> </w:t>
      </w:r>
      <w:proofErr w:type="spellStart"/>
      <w:r w:rsidRPr="00C75A8F">
        <w:t>Rafał</w:t>
      </w:r>
      <w:proofErr w:type="spellEnd"/>
      <w:r w:rsidRPr="00C75A8F">
        <w:t xml:space="preserve"> WIEWIÓROWSKI </w:t>
      </w:r>
      <w:r w:rsidRPr="00C75A8F">
        <w:br w:type="page"/>
      </w:r>
    </w:p>
    <w:p w:rsidRPr="00C75A8F" w:rsidR="00F92ABA" w:rsidP="00F92ABA" w:rsidRDefault="00F92ABA" w14:paraId="5C88152C" w14:textId="77777777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name="_Toc435701394" w:id="3"/>
      <w:bookmarkStart w:name="_Toc22124204" w:id="4"/>
      <w:r w:rsidRPr="00C75A8F">
        <w:rPr>
          <w:sz w:val="32"/>
          <w:szCs w:val="32"/>
        </w:rPr>
        <w:lastRenderedPageBreak/>
        <w:t>Poznámky</w:t>
      </w:r>
      <w:bookmarkEnd w:id="3"/>
      <w:bookmarkEnd w:id="4"/>
    </w:p>
    <w:sectPr w:rsidRPr="00C75A8F" w:rsidR="00F92ABA" w:rsidSect="00D06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40" w:right="1440" w:bottom="1560" w:left="1440" w:header="709" w:footer="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CDC50" w14:textId="77777777" w:rsidR="008C6419" w:rsidRDefault="008C6419" w:rsidP="00EE2109">
      <w:r>
        <w:separator/>
      </w:r>
    </w:p>
  </w:endnote>
  <w:endnote w:type="continuationSeparator" w:id="0">
    <w:p w14:paraId="619467EC" w14:textId="77777777" w:rsidR="008C6419" w:rsidRDefault="008C6419" w:rsidP="00EE2109">
      <w:r>
        <w:continuationSeparator/>
      </w:r>
    </w:p>
  </w:endnote>
  <w:endnote w:id="1">
    <w:p w14:paraId="2023D359" w14:textId="77777777" w:rsidR="002B4019" w:rsidRPr="00C75A8F" w:rsidRDefault="002B4019" w:rsidP="00617099">
      <w:pPr>
        <w:pStyle w:val="Style1"/>
      </w:pPr>
      <w:r w:rsidRPr="00C75A8F">
        <w:rPr>
          <w:rStyle w:val="EndnoteReference"/>
        </w:rPr>
        <w:endnoteRef/>
      </w:r>
      <w:r w:rsidRPr="00C75A8F">
        <w:t xml:space="preserve"> Ú. v. EÚ L 186, 14.7.2012, s. 4 – 16.</w:t>
      </w:r>
    </w:p>
  </w:endnote>
  <w:endnote w:id="2">
    <w:p w14:paraId="196FCF4E" w14:textId="77777777" w:rsidR="002B4019" w:rsidRPr="00C75A8F" w:rsidRDefault="002B4019" w:rsidP="00617099">
      <w:pPr>
        <w:pStyle w:val="Style1"/>
      </w:pPr>
      <w:r w:rsidRPr="00C75A8F">
        <w:rPr>
          <w:rStyle w:val="EndnoteReference"/>
        </w:rPr>
        <w:endnoteRef/>
      </w:r>
      <w:r w:rsidRPr="00C75A8F">
        <w:t xml:space="preserve"> </w:t>
      </w:r>
      <w:r w:rsidRPr="00C75A8F">
        <w:t>Ú. v. EÚ L 215, 11.8.2012, s. 5 – 14.</w:t>
      </w:r>
    </w:p>
  </w:endnote>
  <w:endnote w:id="3">
    <w:p w14:paraId="7170B23C" w14:textId="497E06AD" w:rsidR="002B4019" w:rsidRPr="00C75A8F" w:rsidRDefault="002B4019" w:rsidP="00617099">
      <w:pPr>
        <w:pStyle w:val="Style1"/>
      </w:pPr>
      <w:r w:rsidRPr="00C75A8F">
        <w:rPr>
          <w:rStyle w:val="EndnoteReference"/>
        </w:rPr>
        <w:endnoteRef/>
      </w:r>
      <w:r w:rsidRPr="00C75A8F">
        <w:t xml:space="preserve"> </w:t>
      </w:r>
      <w:r w:rsidRPr="00C75A8F">
        <w:t xml:space="preserve">Stanovisko 1/15 Súdneho dvora z 26. júla 2017 podľa článku 218 </w:t>
      </w:r>
      <w:proofErr w:type="spellStart"/>
      <w:r w:rsidRPr="00C75A8F">
        <w:t>ods</w:t>
      </w:r>
      <w:proofErr w:type="spellEnd"/>
      <w:r w:rsidRPr="00C75A8F">
        <w:t xml:space="preserve"> 11 ZFEÚ o návrhu dohody medzi Kanadou a EÚ o prenose a spracúvaní údajov z PNR, ECLI:EU:C:2017:592.</w:t>
      </w:r>
    </w:p>
  </w:endnote>
  <w:endnote w:id="4">
    <w:p w14:paraId="0B728BE8" w14:textId="77777777" w:rsidR="002B4019" w:rsidRPr="00C75A8F" w:rsidRDefault="002B4019" w:rsidP="00617099">
      <w:pPr>
        <w:pStyle w:val="Style1"/>
      </w:pPr>
      <w:r w:rsidRPr="00C75A8F">
        <w:rPr>
          <w:rStyle w:val="EndnoteReference"/>
        </w:rPr>
        <w:endnoteRef/>
      </w:r>
      <w:r w:rsidRPr="00C75A8F">
        <w:t xml:space="preserve"> </w:t>
      </w:r>
      <w:r w:rsidRPr="00C75A8F">
        <w:t xml:space="preserve">ICAO, dok. č. 9944 </w:t>
      </w:r>
      <w:proofErr w:type="spellStart"/>
      <w:r w:rsidRPr="00C75A8F">
        <w:t>Guidelines</w:t>
      </w:r>
      <w:proofErr w:type="spellEnd"/>
      <w:r w:rsidRPr="00C75A8F">
        <w:t xml:space="preserve"> on </w:t>
      </w:r>
      <w:proofErr w:type="spellStart"/>
      <w:r w:rsidRPr="00C75A8F">
        <w:t>Passenger</w:t>
      </w:r>
      <w:proofErr w:type="spellEnd"/>
      <w:r w:rsidRPr="00C75A8F">
        <w:t xml:space="preserve"> </w:t>
      </w:r>
      <w:proofErr w:type="spellStart"/>
      <w:r w:rsidRPr="00C75A8F">
        <w:t>Name</w:t>
      </w:r>
      <w:proofErr w:type="spellEnd"/>
      <w:r w:rsidRPr="00C75A8F">
        <w:t xml:space="preserve"> </w:t>
      </w:r>
      <w:proofErr w:type="spellStart"/>
      <w:r w:rsidRPr="00C75A8F">
        <w:t>Record</w:t>
      </w:r>
      <w:proofErr w:type="spellEnd"/>
      <w:r w:rsidRPr="00C75A8F">
        <w:t xml:space="preserve"> (PNR) </w:t>
      </w:r>
      <w:proofErr w:type="spellStart"/>
      <w:r w:rsidRPr="00C75A8F">
        <w:t>Data</w:t>
      </w:r>
      <w:proofErr w:type="spellEnd"/>
      <w:r w:rsidRPr="00C75A8F">
        <w:t xml:space="preserve"> (Usmernenia o údajoch zo záznamov o cestujúcich), </w:t>
      </w:r>
      <w:proofErr w:type="spellStart"/>
      <w:r w:rsidRPr="00C75A8F">
        <w:t>First</w:t>
      </w:r>
      <w:proofErr w:type="spellEnd"/>
      <w:r w:rsidRPr="00C75A8F">
        <w:t xml:space="preserve"> </w:t>
      </w:r>
      <w:proofErr w:type="spellStart"/>
      <w:r w:rsidRPr="00C75A8F">
        <w:t>Edition</w:t>
      </w:r>
      <w:proofErr w:type="spellEnd"/>
      <w:r w:rsidRPr="00C75A8F">
        <w:t xml:space="preserve"> – 2010.</w:t>
      </w:r>
    </w:p>
  </w:endnote>
  <w:endnote w:id="5">
    <w:p w14:paraId="446DEA2B" w14:textId="77777777" w:rsidR="002B4019" w:rsidRPr="00C75A8F" w:rsidRDefault="002B4019" w:rsidP="00617099">
      <w:pPr>
        <w:pStyle w:val="Style1"/>
      </w:pPr>
      <w:r w:rsidRPr="00C75A8F">
        <w:rPr>
          <w:rStyle w:val="EndnoteReference"/>
        </w:rPr>
        <w:endnoteRef/>
      </w:r>
      <w:r w:rsidRPr="00C75A8F">
        <w:t xml:space="preserve"> </w:t>
      </w:r>
      <w:r w:rsidRPr="00C75A8F">
        <w:t>Rezolúcia Bezpečnostnej rady OSN 2396 (2017) o hrozbách pre medzinárodný mier a bezpečnosť v dôsledku návratu zahraničných teroristických bojovníkov, prijatá Bezpečnostnou radou na jej 8 148. zasadnutí dňa 21. decembra 2017, bod 12.</w:t>
      </w:r>
    </w:p>
  </w:endnote>
  <w:endnote w:id="6">
    <w:p w14:paraId="34AF0F9E" w14:textId="2CABBBAA" w:rsidR="000C2F0E" w:rsidRPr="00C75A8F" w:rsidRDefault="000C2F0E" w:rsidP="00617099">
      <w:pPr>
        <w:pStyle w:val="Style1"/>
      </w:pPr>
      <w:r w:rsidRPr="00C75A8F">
        <w:rPr>
          <w:rStyle w:val="EndnoteReference"/>
        </w:rPr>
        <w:endnoteRef/>
      </w:r>
      <w:r w:rsidRPr="00C75A8F">
        <w:t xml:space="preserve"> </w:t>
      </w:r>
      <w:r w:rsidRPr="00C75A8F">
        <w:t xml:space="preserve">Pozri stanovisko EDPS 2/2019 k mandátu na rokovanie o dohode medzi EÚ a USA o cezhraničnom prístupe k elektronickým dôkazom a stanovisko EDPS 3/2019 týkajúce sa účasti na rokovaniach o druhom dodatkovom protokole k Budapeštianskemu dohovoru o počítačovej kriminalite, k dispozícii na: </w:t>
      </w:r>
      <w:hyperlink r:id="rId1" w:history="1">
        <w:r w:rsidRPr="00C75A8F">
          <w:rPr>
            <w:rStyle w:val="Hyperlink"/>
          </w:rPr>
          <w:t>https://edps.europa.eu/sites/edp/files/publication/19-04-02_edps_opinion_on_eu_us_agreement_on_e-evidence_en.pdf</w:t>
        </w:r>
      </w:hyperlink>
      <w:r w:rsidRPr="00C75A8F">
        <w:t xml:space="preserve"> a</w:t>
      </w:r>
    </w:p>
    <w:p w14:paraId="3AF6EE40" w14:textId="6C21E2F5" w:rsidR="000C2F0E" w:rsidRPr="00C75A8F" w:rsidRDefault="008C6419" w:rsidP="009600CE">
      <w:pPr>
        <w:pStyle w:val="EndnoteText"/>
        <w:jc w:val="both"/>
        <w:rPr>
          <w:rFonts w:ascii="Times New Roman" w:hAnsi="Times New Roman"/>
        </w:rPr>
      </w:pPr>
      <w:hyperlink r:id="rId2" w:history="1">
        <w:r w:rsidR="00B11FC2" w:rsidRPr="00C75A8F">
          <w:rPr>
            <w:rStyle w:val="Hyperlink"/>
            <w:rFonts w:ascii="Times New Roman" w:hAnsi="Times New Roman"/>
          </w:rPr>
          <w:t>https://edps.europa.eu/sites/edp/files/publication/19-04-02_edps_opinion_budapest_convention_en</w:t>
        </w:r>
        <w:bookmarkStart w:id="2" w:name="_GoBack"/>
        <w:bookmarkEnd w:id="2"/>
        <w:r w:rsidR="00B11FC2" w:rsidRPr="00C75A8F">
          <w:rPr>
            <w:rStyle w:val="Hyperlink"/>
            <w:rFonts w:ascii="Times New Roman" w:hAnsi="Times New Roman"/>
          </w:rPr>
          <w:t>.pdf</w:t>
        </w:r>
      </w:hyperlink>
      <w:r w:rsidR="00B11FC2" w:rsidRPr="00C75A8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75A8F" w:rsidR="00C75A8F" w:rsidRDefault="00C75A8F" w14:paraId="5AB13B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75A8F" w:rsidR="00621B53" w:rsidP="00D065E1" w:rsidRDefault="00621B53" w14:paraId="703AAF17" w14:textId="2137951D">
    <w:pPr>
      <w:pStyle w:val="Footer"/>
      <w:pBdr>
        <w:top w:val="single" w:color="D9D9D9" w:themeColor="background1" w:themeShade="D9" w:sz="4" w:space="1"/>
      </w:pBdr>
      <w:jc w:val="right"/>
      <w:rPr>
        <w:color w:val="808080" w:themeColor="background1" w:themeShade="80"/>
        <w:spacing w:val="60"/>
      </w:rPr>
    </w:pPr>
  </w:p>
  <w:p w:rsidRPr="00C75A8F" w:rsidR="00621B53" w:rsidRDefault="00621B53" w14:paraId="165BF6E0" w14:textId="77777777">
    <w:pPr>
      <w:pStyle w:val="Footer"/>
    </w:pPr>
  </w:p>
  <w:p w:rsidRPr="00C75A8F" w:rsidR="00621B53" w:rsidRDefault="00621B53" w14:paraId="611AAA0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75A8F" w:rsidR="00621B53" w:rsidP="00076A31" w:rsidRDefault="00621B53" w14:paraId="5B07118A" w14:textId="0951BA98">
    <w:pPr>
      <w:pStyle w:val="Footer"/>
      <w:pBdr>
        <w:top w:val="single" w:color="D9D9D9" w:themeColor="background1" w:themeShade="D9" w:sz="4" w:space="1"/>
      </w:pBdr>
      <w:jc w:val="right"/>
    </w:pPr>
  </w:p>
  <w:p w:rsidRPr="00C75A8F" w:rsidR="00621B53" w:rsidRDefault="00621B53" w14:paraId="3938CD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5B73" w14:textId="77777777" w:rsidR="008C6419" w:rsidRDefault="008C6419" w:rsidP="00EE2109">
      <w:r>
        <w:separator/>
      </w:r>
    </w:p>
  </w:footnote>
  <w:footnote w:type="continuationSeparator" w:id="0">
    <w:p w14:paraId="578F19E8" w14:textId="77777777" w:rsidR="008C6419" w:rsidRDefault="008C6419" w:rsidP="00EE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75A8F" w:rsidR="00C75A8F" w:rsidRDefault="00C75A8F" w14:paraId="727A1F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75A8F" w:rsidR="00C75A8F" w:rsidRDefault="00C75A8F" w14:paraId="04032F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75A8F" w:rsidR="00C75A8F" w:rsidRDefault="00C75A8F" w14:paraId="7DE8A5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23"/>
    <w:multiLevelType w:val="hybridMultilevel"/>
    <w:tmpl w:val="6922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78C"/>
    <w:multiLevelType w:val="hybridMultilevel"/>
    <w:tmpl w:val="5F1AC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DC6"/>
    <w:multiLevelType w:val="hybridMultilevel"/>
    <w:tmpl w:val="D3143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BA7"/>
    <w:multiLevelType w:val="hybridMultilevel"/>
    <w:tmpl w:val="0D9C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E86"/>
    <w:multiLevelType w:val="hybridMultilevel"/>
    <w:tmpl w:val="7730076E"/>
    <w:lvl w:ilvl="0" w:tplc="69901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D475B"/>
    <w:multiLevelType w:val="multilevel"/>
    <w:tmpl w:val="77E2855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275B65"/>
    <w:multiLevelType w:val="hybridMultilevel"/>
    <w:tmpl w:val="DCF0A260"/>
    <w:lvl w:ilvl="0" w:tplc="D4C0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C23"/>
    <w:multiLevelType w:val="hybridMultilevel"/>
    <w:tmpl w:val="9FB0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1A1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3F116B"/>
    <w:multiLevelType w:val="hybridMultilevel"/>
    <w:tmpl w:val="3118F048"/>
    <w:lvl w:ilvl="0" w:tplc="04DA5B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120D3"/>
    <w:multiLevelType w:val="hybridMultilevel"/>
    <w:tmpl w:val="FA12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8A5"/>
    <w:multiLevelType w:val="hybridMultilevel"/>
    <w:tmpl w:val="592C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31C58"/>
    <w:multiLevelType w:val="hybridMultilevel"/>
    <w:tmpl w:val="386A81F8"/>
    <w:lvl w:ilvl="0" w:tplc="3F842DE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CD6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01F24"/>
    <w:multiLevelType w:val="multilevel"/>
    <w:tmpl w:val="E58E1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02CE"/>
    <w:multiLevelType w:val="multilevel"/>
    <w:tmpl w:val="6B923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E3765"/>
    <w:multiLevelType w:val="hybridMultilevel"/>
    <w:tmpl w:val="B97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4EB4"/>
    <w:multiLevelType w:val="hybridMultilevel"/>
    <w:tmpl w:val="4E78AF06"/>
    <w:lvl w:ilvl="0" w:tplc="E5BE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lang w:val="en-GB"/>
      </w:rPr>
    </w:lvl>
    <w:lvl w:ilvl="1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vertAlign w:val="baseline"/>
      </w:rPr>
    </w:lvl>
    <w:lvl w:ilvl="2" w:tplc="67743F40">
      <w:start w:val="1"/>
      <w:numFmt w:val="lowerLetter"/>
      <w:lvlText w:val="(%3)"/>
      <w:lvlJc w:val="left"/>
      <w:pPr>
        <w:ind w:left="2318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b w:val="0"/>
        <w:i w:val="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8" w15:restartNumberingAfterBreak="0">
    <w:nsid w:val="5A7A33BB"/>
    <w:multiLevelType w:val="hybridMultilevel"/>
    <w:tmpl w:val="8E40BBA8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55D5A3A"/>
    <w:multiLevelType w:val="hybridMultilevel"/>
    <w:tmpl w:val="569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23DF"/>
    <w:multiLevelType w:val="hybridMultilevel"/>
    <w:tmpl w:val="B53C6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10"/>
    <w:multiLevelType w:val="hybridMultilevel"/>
    <w:tmpl w:val="870AED6E"/>
    <w:lvl w:ilvl="0" w:tplc="58228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784"/>
    <w:multiLevelType w:val="multilevel"/>
    <w:tmpl w:val="373A06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074AA4"/>
    <w:multiLevelType w:val="hybridMultilevel"/>
    <w:tmpl w:val="6A32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3848"/>
    <w:multiLevelType w:val="hybridMultilevel"/>
    <w:tmpl w:val="A1826D14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18"/>
  </w:num>
  <w:num w:numId="13">
    <w:abstractNumId w:val="24"/>
  </w:num>
  <w:num w:numId="14">
    <w:abstractNumId w:val="10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  <w:num w:numId="22">
    <w:abstractNumId w:val="9"/>
  </w:num>
  <w:num w:numId="23">
    <w:abstractNumId w:val="5"/>
  </w:num>
  <w:num w:numId="24">
    <w:abstractNumId w:val="12"/>
  </w:num>
  <w:num w:numId="25">
    <w:abstractNumId w:val="1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9"/>
    <w:rsid w:val="00001F64"/>
    <w:rsid w:val="00006D28"/>
    <w:rsid w:val="00007024"/>
    <w:rsid w:val="00011CD6"/>
    <w:rsid w:val="00014506"/>
    <w:rsid w:val="000154A5"/>
    <w:rsid w:val="00016ACA"/>
    <w:rsid w:val="00017B0C"/>
    <w:rsid w:val="000229E9"/>
    <w:rsid w:val="00032414"/>
    <w:rsid w:val="00033562"/>
    <w:rsid w:val="00034993"/>
    <w:rsid w:val="0003564C"/>
    <w:rsid w:val="00036309"/>
    <w:rsid w:val="00036BB1"/>
    <w:rsid w:val="00040497"/>
    <w:rsid w:val="00040910"/>
    <w:rsid w:val="00041759"/>
    <w:rsid w:val="000505CB"/>
    <w:rsid w:val="000511C3"/>
    <w:rsid w:val="00051C38"/>
    <w:rsid w:val="000529F8"/>
    <w:rsid w:val="00057664"/>
    <w:rsid w:val="00063045"/>
    <w:rsid w:val="00065A7A"/>
    <w:rsid w:val="00067D0E"/>
    <w:rsid w:val="00074161"/>
    <w:rsid w:val="000752FA"/>
    <w:rsid w:val="000760C6"/>
    <w:rsid w:val="00076A31"/>
    <w:rsid w:val="000805A4"/>
    <w:rsid w:val="000806DF"/>
    <w:rsid w:val="000957ED"/>
    <w:rsid w:val="000966DD"/>
    <w:rsid w:val="000A165C"/>
    <w:rsid w:val="000A1C01"/>
    <w:rsid w:val="000A5BC9"/>
    <w:rsid w:val="000A5E02"/>
    <w:rsid w:val="000A6610"/>
    <w:rsid w:val="000B01C4"/>
    <w:rsid w:val="000B02B4"/>
    <w:rsid w:val="000B23D3"/>
    <w:rsid w:val="000B32B8"/>
    <w:rsid w:val="000B7EC8"/>
    <w:rsid w:val="000C0FCA"/>
    <w:rsid w:val="000C2F0E"/>
    <w:rsid w:val="000C6282"/>
    <w:rsid w:val="000D0219"/>
    <w:rsid w:val="000D22B6"/>
    <w:rsid w:val="000E23D7"/>
    <w:rsid w:val="000E3CED"/>
    <w:rsid w:val="000E427E"/>
    <w:rsid w:val="000E48E9"/>
    <w:rsid w:val="000F00CE"/>
    <w:rsid w:val="000F1F34"/>
    <w:rsid w:val="000F2C34"/>
    <w:rsid w:val="000F33CF"/>
    <w:rsid w:val="000F4438"/>
    <w:rsid w:val="000F548B"/>
    <w:rsid w:val="000F70EB"/>
    <w:rsid w:val="00100578"/>
    <w:rsid w:val="001024A2"/>
    <w:rsid w:val="0010469A"/>
    <w:rsid w:val="00105B54"/>
    <w:rsid w:val="00106ED4"/>
    <w:rsid w:val="001073ED"/>
    <w:rsid w:val="0010766F"/>
    <w:rsid w:val="00107A0A"/>
    <w:rsid w:val="00111EE6"/>
    <w:rsid w:val="00121625"/>
    <w:rsid w:val="001223EB"/>
    <w:rsid w:val="00126176"/>
    <w:rsid w:val="0012671F"/>
    <w:rsid w:val="00131601"/>
    <w:rsid w:val="001328D0"/>
    <w:rsid w:val="001354BE"/>
    <w:rsid w:val="00136B7F"/>
    <w:rsid w:val="0014071B"/>
    <w:rsid w:val="0014656A"/>
    <w:rsid w:val="00146F3B"/>
    <w:rsid w:val="00152B43"/>
    <w:rsid w:val="00152D82"/>
    <w:rsid w:val="00153840"/>
    <w:rsid w:val="00154AC6"/>
    <w:rsid w:val="00163AB9"/>
    <w:rsid w:val="00164E5D"/>
    <w:rsid w:val="001677B4"/>
    <w:rsid w:val="001733C8"/>
    <w:rsid w:val="00173BCD"/>
    <w:rsid w:val="00181448"/>
    <w:rsid w:val="00182BB6"/>
    <w:rsid w:val="001834C6"/>
    <w:rsid w:val="0018626A"/>
    <w:rsid w:val="00186C7E"/>
    <w:rsid w:val="001876A0"/>
    <w:rsid w:val="00194EAB"/>
    <w:rsid w:val="001A0AA3"/>
    <w:rsid w:val="001A3CEF"/>
    <w:rsid w:val="001A73A3"/>
    <w:rsid w:val="001B364E"/>
    <w:rsid w:val="001B5F6B"/>
    <w:rsid w:val="001B5FE0"/>
    <w:rsid w:val="001C0ABC"/>
    <w:rsid w:val="001C393D"/>
    <w:rsid w:val="001C3C58"/>
    <w:rsid w:val="001C770A"/>
    <w:rsid w:val="001D1E3B"/>
    <w:rsid w:val="001D419A"/>
    <w:rsid w:val="001D4BE8"/>
    <w:rsid w:val="001D74A9"/>
    <w:rsid w:val="001D7BD9"/>
    <w:rsid w:val="001E0B04"/>
    <w:rsid w:val="001E2BAD"/>
    <w:rsid w:val="001E4ABE"/>
    <w:rsid w:val="001E6C10"/>
    <w:rsid w:val="001E7C91"/>
    <w:rsid w:val="001F0032"/>
    <w:rsid w:val="001F059A"/>
    <w:rsid w:val="001F110A"/>
    <w:rsid w:val="001F4614"/>
    <w:rsid w:val="001F5488"/>
    <w:rsid w:val="001F61D5"/>
    <w:rsid w:val="001F74BE"/>
    <w:rsid w:val="001F77A1"/>
    <w:rsid w:val="0021216C"/>
    <w:rsid w:val="00213865"/>
    <w:rsid w:val="00213E0C"/>
    <w:rsid w:val="002164BD"/>
    <w:rsid w:val="00232292"/>
    <w:rsid w:val="00236231"/>
    <w:rsid w:val="00237D55"/>
    <w:rsid w:val="00240EE0"/>
    <w:rsid w:val="002421B8"/>
    <w:rsid w:val="00247527"/>
    <w:rsid w:val="00251CAB"/>
    <w:rsid w:val="00252C97"/>
    <w:rsid w:val="002569F6"/>
    <w:rsid w:val="00256DE1"/>
    <w:rsid w:val="002606BE"/>
    <w:rsid w:val="00261A8F"/>
    <w:rsid w:val="0026468E"/>
    <w:rsid w:val="002647CC"/>
    <w:rsid w:val="00270F50"/>
    <w:rsid w:val="002737B5"/>
    <w:rsid w:val="0027595C"/>
    <w:rsid w:val="002810DD"/>
    <w:rsid w:val="00281C4C"/>
    <w:rsid w:val="0028321A"/>
    <w:rsid w:val="00284E13"/>
    <w:rsid w:val="00285A96"/>
    <w:rsid w:val="002A7A52"/>
    <w:rsid w:val="002B0ED1"/>
    <w:rsid w:val="002B221E"/>
    <w:rsid w:val="002B2257"/>
    <w:rsid w:val="002B3379"/>
    <w:rsid w:val="002B4019"/>
    <w:rsid w:val="002B40DA"/>
    <w:rsid w:val="002C2A74"/>
    <w:rsid w:val="002D33E6"/>
    <w:rsid w:val="002D4295"/>
    <w:rsid w:val="002E69B2"/>
    <w:rsid w:val="002F40D6"/>
    <w:rsid w:val="002F4E34"/>
    <w:rsid w:val="00300BDF"/>
    <w:rsid w:val="00303072"/>
    <w:rsid w:val="003030A8"/>
    <w:rsid w:val="00306297"/>
    <w:rsid w:val="0030787A"/>
    <w:rsid w:val="00312B76"/>
    <w:rsid w:val="003142BB"/>
    <w:rsid w:val="00314EED"/>
    <w:rsid w:val="003150B1"/>
    <w:rsid w:val="003257A1"/>
    <w:rsid w:val="00331A79"/>
    <w:rsid w:val="00332C7F"/>
    <w:rsid w:val="003335B0"/>
    <w:rsid w:val="00342B32"/>
    <w:rsid w:val="00343B76"/>
    <w:rsid w:val="0035019C"/>
    <w:rsid w:val="0035115D"/>
    <w:rsid w:val="00351B87"/>
    <w:rsid w:val="003661D2"/>
    <w:rsid w:val="00367F83"/>
    <w:rsid w:val="003711E5"/>
    <w:rsid w:val="0038457D"/>
    <w:rsid w:val="00386B21"/>
    <w:rsid w:val="003901D2"/>
    <w:rsid w:val="003920FA"/>
    <w:rsid w:val="0039252B"/>
    <w:rsid w:val="0039712A"/>
    <w:rsid w:val="00397D2C"/>
    <w:rsid w:val="003A2895"/>
    <w:rsid w:val="003A2BB9"/>
    <w:rsid w:val="003A7EB0"/>
    <w:rsid w:val="003B3524"/>
    <w:rsid w:val="003B3F22"/>
    <w:rsid w:val="003B66D9"/>
    <w:rsid w:val="003B6E66"/>
    <w:rsid w:val="003B7A97"/>
    <w:rsid w:val="003C0656"/>
    <w:rsid w:val="003C0731"/>
    <w:rsid w:val="003C1BE3"/>
    <w:rsid w:val="003C35D5"/>
    <w:rsid w:val="003C42E0"/>
    <w:rsid w:val="003C4596"/>
    <w:rsid w:val="003C4970"/>
    <w:rsid w:val="003C7335"/>
    <w:rsid w:val="003D15C6"/>
    <w:rsid w:val="003D347C"/>
    <w:rsid w:val="003D4107"/>
    <w:rsid w:val="003D5187"/>
    <w:rsid w:val="003E068E"/>
    <w:rsid w:val="003F2070"/>
    <w:rsid w:val="003F5FA4"/>
    <w:rsid w:val="00402059"/>
    <w:rsid w:val="004021BC"/>
    <w:rsid w:val="00402B9B"/>
    <w:rsid w:val="00410938"/>
    <w:rsid w:val="00414981"/>
    <w:rsid w:val="00415899"/>
    <w:rsid w:val="00417A3B"/>
    <w:rsid w:val="00420708"/>
    <w:rsid w:val="00421439"/>
    <w:rsid w:val="004214DA"/>
    <w:rsid w:val="00426524"/>
    <w:rsid w:val="00433F9B"/>
    <w:rsid w:val="00443651"/>
    <w:rsid w:val="0044551F"/>
    <w:rsid w:val="00446002"/>
    <w:rsid w:val="00451CDE"/>
    <w:rsid w:val="004529D5"/>
    <w:rsid w:val="00456876"/>
    <w:rsid w:val="0046171E"/>
    <w:rsid w:val="004632FE"/>
    <w:rsid w:val="00470059"/>
    <w:rsid w:val="00470946"/>
    <w:rsid w:val="004727D2"/>
    <w:rsid w:val="00473A52"/>
    <w:rsid w:val="00473E28"/>
    <w:rsid w:val="004742DB"/>
    <w:rsid w:val="00483118"/>
    <w:rsid w:val="00486545"/>
    <w:rsid w:val="00486C67"/>
    <w:rsid w:val="00491D61"/>
    <w:rsid w:val="00491ECE"/>
    <w:rsid w:val="004936DE"/>
    <w:rsid w:val="004947E1"/>
    <w:rsid w:val="00494B4A"/>
    <w:rsid w:val="00495FFC"/>
    <w:rsid w:val="004A4129"/>
    <w:rsid w:val="004B2750"/>
    <w:rsid w:val="004B4F3D"/>
    <w:rsid w:val="004B6B12"/>
    <w:rsid w:val="004C0607"/>
    <w:rsid w:val="004C1A8D"/>
    <w:rsid w:val="004C2089"/>
    <w:rsid w:val="004C29E4"/>
    <w:rsid w:val="004C7EBE"/>
    <w:rsid w:val="004D0167"/>
    <w:rsid w:val="004D2021"/>
    <w:rsid w:val="004D4A20"/>
    <w:rsid w:val="004E19BF"/>
    <w:rsid w:val="004F1916"/>
    <w:rsid w:val="004F1DCB"/>
    <w:rsid w:val="004F1F68"/>
    <w:rsid w:val="004F25FC"/>
    <w:rsid w:val="004F3850"/>
    <w:rsid w:val="004F38B9"/>
    <w:rsid w:val="004F39CC"/>
    <w:rsid w:val="004F4409"/>
    <w:rsid w:val="004F65A4"/>
    <w:rsid w:val="004F6920"/>
    <w:rsid w:val="00501BF1"/>
    <w:rsid w:val="005035D0"/>
    <w:rsid w:val="00503F3B"/>
    <w:rsid w:val="005053C8"/>
    <w:rsid w:val="00505AA4"/>
    <w:rsid w:val="00506106"/>
    <w:rsid w:val="00511F4F"/>
    <w:rsid w:val="0051238B"/>
    <w:rsid w:val="005147A1"/>
    <w:rsid w:val="0052195B"/>
    <w:rsid w:val="00521AFE"/>
    <w:rsid w:val="0052422B"/>
    <w:rsid w:val="00524AF0"/>
    <w:rsid w:val="005259B6"/>
    <w:rsid w:val="005261B3"/>
    <w:rsid w:val="005306E1"/>
    <w:rsid w:val="00540195"/>
    <w:rsid w:val="005443D6"/>
    <w:rsid w:val="00544C56"/>
    <w:rsid w:val="00547461"/>
    <w:rsid w:val="00547E04"/>
    <w:rsid w:val="00555746"/>
    <w:rsid w:val="005612BE"/>
    <w:rsid w:val="00562F3E"/>
    <w:rsid w:val="00567A57"/>
    <w:rsid w:val="00571068"/>
    <w:rsid w:val="005722ED"/>
    <w:rsid w:val="00572785"/>
    <w:rsid w:val="005759BF"/>
    <w:rsid w:val="00580A2E"/>
    <w:rsid w:val="005850A4"/>
    <w:rsid w:val="00586208"/>
    <w:rsid w:val="005864CD"/>
    <w:rsid w:val="00590C34"/>
    <w:rsid w:val="0059330F"/>
    <w:rsid w:val="00593D21"/>
    <w:rsid w:val="00593E8D"/>
    <w:rsid w:val="005947D2"/>
    <w:rsid w:val="00595DA7"/>
    <w:rsid w:val="005A51D4"/>
    <w:rsid w:val="005A7CA9"/>
    <w:rsid w:val="005B26A2"/>
    <w:rsid w:val="005B36C4"/>
    <w:rsid w:val="005B3D89"/>
    <w:rsid w:val="005B4B62"/>
    <w:rsid w:val="005B6491"/>
    <w:rsid w:val="005B7E87"/>
    <w:rsid w:val="005C422E"/>
    <w:rsid w:val="005D3A0E"/>
    <w:rsid w:val="005D45BC"/>
    <w:rsid w:val="005E39C6"/>
    <w:rsid w:val="005E3FDC"/>
    <w:rsid w:val="005E54A4"/>
    <w:rsid w:val="005E5F56"/>
    <w:rsid w:val="005F05E7"/>
    <w:rsid w:val="005F637D"/>
    <w:rsid w:val="00600E2E"/>
    <w:rsid w:val="006019FB"/>
    <w:rsid w:val="006031EC"/>
    <w:rsid w:val="00606623"/>
    <w:rsid w:val="00612229"/>
    <w:rsid w:val="006130E4"/>
    <w:rsid w:val="00617099"/>
    <w:rsid w:val="00621B53"/>
    <w:rsid w:val="00622611"/>
    <w:rsid w:val="00624704"/>
    <w:rsid w:val="006252F5"/>
    <w:rsid w:val="0063369E"/>
    <w:rsid w:val="00637697"/>
    <w:rsid w:val="006405EF"/>
    <w:rsid w:val="0064285B"/>
    <w:rsid w:val="00644C8C"/>
    <w:rsid w:val="006478F4"/>
    <w:rsid w:val="00650DB1"/>
    <w:rsid w:val="006541B0"/>
    <w:rsid w:val="00655FB4"/>
    <w:rsid w:val="006578F4"/>
    <w:rsid w:val="006630C6"/>
    <w:rsid w:val="00667D2B"/>
    <w:rsid w:val="0067008E"/>
    <w:rsid w:val="006705A2"/>
    <w:rsid w:val="00671181"/>
    <w:rsid w:val="0067375B"/>
    <w:rsid w:val="00673C00"/>
    <w:rsid w:val="0067579E"/>
    <w:rsid w:val="00676D92"/>
    <w:rsid w:val="00683165"/>
    <w:rsid w:val="00696030"/>
    <w:rsid w:val="006A20B1"/>
    <w:rsid w:val="006A5785"/>
    <w:rsid w:val="006A7D96"/>
    <w:rsid w:val="006B6B5D"/>
    <w:rsid w:val="006C45DB"/>
    <w:rsid w:val="006D1D22"/>
    <w:rsid w:val="006D1DB4"/>
    <w:rsid w:val="006D281A"/>
    <w:rsid w:val="006E1287"/>
    <w:rsid w:val="006F5510"/>
    <w:rsid w:val="006F591F"/>
    <w:rsid w:val="0070059F"/>
    <w:rsid w:val="00713A4E"/>
    <w:rsid w:val="00714F61"/>
    <w:rsid w:val="0071743D"/>
    <w:rsid w:val="007216B9"/>
    <w:rsid w:val="00722E03"/>
    <w:rsid w:val="00723810"/>
    <w:rsid w:val="00730CA6"/>
    <w:rsid w:val="00732059"/>
    <w:rsid w:val="00732C03"/>
    <w:rsid w:val="007350BE"/>
    <w:rsid w:val="007352FC"/>
    <w:rsid w:val="007353E7"/>
    <w:rsid w:val="0074083E"/>
    <w:rsid w:val="00740C6E"/>
    <w:rsid w:val="00743463"/>
    <w:rsid w:val="00747784"/>
    <w:rsid w:val="007503E3"/>
    <w:rsid w:val="00750DE9"/>
    <w:rsid w:val="00755430"/>
    <w:rsid w:val="00762CBC"/>
    <w:rsid w:val="00766663"/>
    <w:rsid w:val="00771EFC"/>
    <w:rsid w:val="00774120"/>
    <w:rsid w:val="00776054"/>
    <w:rsid w:val="0078222A"/>
    <w:rsid w:val="00787776"/>
    <w:rsid w:val="007906A4"/>
    <w:rsid w:val="007956DA"/>
    <w:rsid w:val="00795CBD"/>
    <w:rsid w:val="007A212E"/>
    <w:rsid w:val="007A684B"/>
    <w:rsid w:val="007B1880"/>
    <w:rsid w:val="007B1A02"/>
    <w:rsid w:val="007B6B42"/>
    <w:rsid w:val="007B795B"/>
    <w:rsid w:val="007C14A0"/>
    <w:rsid w:val="007C204E"/>
    <w:rsid w:val="007C2E57"/>
    <w:rsid w:val="007C45FE"/>
    <w:rsid w:val="007D02F8"/>
    <w:rsid w:val="007D0E0F"/>
    <w:rsid w:val="007D5E73"/>
    <w:rsid w:val="007D7060"/>
    <w:rsid w:val="007E30F8"/>
    <w:rsid w:val="007E39B3"/>
    <w:rsid w:val="007F078C"/>
    <w:rsid w:val="007F3AFE"/>
    <w:rsid w:val="007F4815"/>
    <w:rsid w:val="007F5893"/>
    <w:rsid w:val="007F77AF"/>
    <w:rsid w:val="0080089F"/>
    <w:rsid w:val="00806409"/>
    <w:rsid w:val="00807D35"/>
    <w:rsid w:val="00813800"/>
    <w:rsid w:val="008161E2"/>
    <w:rsid w:val="0082019A"/>
    <w:rsid w:val="00823236"/>
    <w:rsid w:val="008360B8"/>
    <w:rsid w:val="0084317F"/>
    <w:rsid w:val="0084692C"/>
    <w:rsid w:val="00855BB9"/>
    <w:rsid w:val="00861A2D"/>
    <w:rsid w:val="00862AB0"/>
    <w:rsid w:val="0086329A"/>
    <w:rsid w:val="008704C7"/>
    <w:rsid w:val="00872808"/>
    <w:rsid w:val="00873C73"/>
    <w:rsid w:val="00875B0B"/>
    <w:rsid w:val="00875FA8"/>
    <w:rsid w:val="00877C95"/>
    <w:rsid w:val="008807F7"/>
    <w:rsid w:val="00893DEB"/>
    <w:rsid w:val="00895F51"/>
    <w:rsid w:val="00897398"/>
    <w:rsid w:val="008A47EC"/>
    <w:rsid w:val="008B2088"/>
    <w:rsid w:val="008B2B00"/>
    <w:rsid w:val="008B2D33"/>
    <w:rsid w:val="008B47C3"/>
    <w:rsid w:val="008B4FAB"/>
    <w:rsid w:val="008B5026"/>
    <w:rsid w:val="008B6BB1"/>
    <w:rsid w:val="008B70EE"/>
    <w:rsid w:val="008C285A"/>
    <w:rsid w:val="008C6419"/>
    <w:rsid w:val="008D13E1"/>
    <w:rsid w:val="008D25AE"/>
    <w:rsid w:val="008D36F0"/>
    <w:rsid w:val="008D7DBA"/>
    <w:rsid w:val="008E48FC"/>
    <w:rsid w:val="008F114D"/>
    <w:rsid w:val="008F5B9D"/>
    <w:rsid w:val="00900AFE"/>
    <w:rsid w:val="00905D02"/>
    <w:rsid w:val="009168B8"/>
    <w:rsid w:val="00916A64"/>
    <w:rsid w:val="009173FF"/>
    <w:rsid w:val="0092055D"/>
    <w:rsid w:val="00920880"/>
    <w:rsid w:val="00920C9F"/>
    <w:rsid w:val="00923E53"/>
    <w:rsid w:val="009249B6"/>
    <w:rsid w:val="00924ABC"/>
    <w:rsid w:val="0094561E"/>
    <w:rsid w:val="00945A2D"/>
    <w:rsid w:val="00952226"/>
    <w:rsid w:val="00957B35"/>
    <w:rsid w:val="009600CE"/>
    <w:rsid w:val="0096187F"/>
    <w:rsid w:val="00962E0F"/>
    <w:rsid w:val="00965DEE"/>
    <w:rsid w:val="009723ED"/>
    <w:rsid w:val="0097257F"/>
    <w:rsid w:val="00975261"/>
    <w:rsid w:val="00981C5F"/>
    <w:rsid w:val="009820F1"/>
    <w:rsid w:val="0098755E"/>
    <w:rsid w:val="00991819"/>
    <w:rsid w:val="009935E6"/>
    <w:rsid w:val="00993934"/>
    <w:rsid w:val="00993B68"/>
    <w:rsid w:val="009A0D3C"/>
    <w:rsid w:val="009A3AD5"/>
    <w:rsid w:val="009A4F1C"/>
    <w:rsid w:val="009A548A"/>
    <w:rsid w:val="009A5AB4"/>
    <w:rsid w:val="009A6113"/>
    <w:rsid w:val="009A64EB"/>
    <w:rsid w:val="009A6520"/>
    <w:rsid w:val="009B059F"/>
    <w:rsid w:val="009B18DA"/>
    <w:rsid w:val="009B2A0A"/>
    <w:rsid w:val="009B76E6"/>
    <w:rsid w:val="009D0910"/>
    <w:rsid w:val="009D4CB9"/>
    <w:rsid w:val="009E03E1"/>
    <w:rsid w:val="009E77F4"/>
    <w:rsid w:val="009F1C6E"/>
    <w:rsid w:val="009F5880"/>
    <w:rsid w:val="00A01E59"/>
    <w:rsid w:val="00A04073"/>
    <w:rsid w:val="00A064BF"/>
    <w:rsid w:val="00A06782"/>
    <w:rsid w:val="00A108EB"/>
    <w:rsid w:val="00A11EE7"/>
    <w:rsid w:val="00A16D7D"/>
    <w:rsid w:val="00A2525D"/>
    <w:rsid w:val="00A26587"/>
    <w:rsid w:val="00A31037"/>
    <w:rsid w:val="00A32ECA"/>
    <w:rsid w:val="00A34C17"/>
    <w:rsid w:val="00A405DA"/>
    <w:rsid w:val="00A40D99"/>
    <w:rsid w:val="00A41CAB"/>
    <w:rsid w:val="00A41D88"/>
    <w:rsid w:val="00A443C2"/>
    <w:rsid w:val="00A51B28"/>
    <w:rsid w:val="00A55719"/>
    <w:rsid w:val="00A5608F"/>
    <w:rsid w:val="00A564F5"/>
    <w:rsid w:val="00A60789"/>
    <w:rsid w:val="00A66FB7"/>
    <w:rsid w:val="00A71B52"/>
    <w:rsid w:val="00A73BA5"/>
    <w:rsid w:val="00A77584"/>
    <w:rsid w:val="00A83447"/>
    <w:rsid w:val="00A83E3B"/>
    <w:rsid w:val="00A85933"/>
    <w:rsid w:val="00A93B96"/>
    <w:rsid w:val="00A9717E"/>
    <w:rsid w:val="00A975C0"/>
    <w:rsid w:val="00AA3F9E"/>
    <w:rsid w:val="00AA50F4"/>
    <w:rsid w:val="00AA6AF3"/>
    <w:rsid w:val="00AB0EDB"/>
    <w:rsid w:val="00AB1059"/>
    <w:rsid w:val="00AB2466"/>
    <w:rsid w:val="00AB3370"/>
    <w:rsid w:val="00AB5F3E"/>
    <w:rsid w:val="00AB699C"/>
    <w:rsid w:val="00AB6C12"/>
    <w:rsid w:val="00AB77D8"/>
    <w:rsid w:val="00AB7E8E"/>
    <w:rsid w:val="00AC00FB"/>
    <w:rsid w:val="00AC751D"/>
    <w:rsid w:val="00AD4A21"/>
    <w:rsid w:val="00AD7E58"/>
    <w:rsid w:val="00AE204F"/>
    <w:rsid w:val="00AE33F2"/>
    <w:rsid w:val="00AE442D"/>
    <w:rsid w:val="00AE75C1"/>
    <w:rsid w:val="00AF59D9"/>
    <w:rsid w:val="00AF7B67"/>
    <w:rsid w:val="00B0086E"/>
    <w:rsid w:val="00B01414"/>
    <w:rsid w:val="00B02394"/>
    <w:rsid w:val="00B0562C"/>
    <w:rsid w:val="00B05761"/>
    <w:rsid w:val="00B07357"/>
    <w:rsid w:val="00B11FC2"/>
    <w:rsid w:val="00B1217F"/>
    <w:rsid w:val="00B134FC"/>
    <w:rsid w:val="00B16829"/>
    <w:rsid w:val="00B21983"/>
    <w:rsid w:val="00B23FBC"/>
    <w:rsid w:val="00B3145D"/>
    <w:rsid w:val="00B33445"/>
    <w:rsid w:val="00B34201"/>
    <w:rsid w:val="00B34B75"/>
    <w:rsid w:val="00B3748D"/>
    <w:rsid w:val="00B378CE"/>
    <w:rsid w:val="00B43A4F"/>
    <w:rsid w:val="00B47E6A"/>
    <w:rsid w:val="00B52447"/>
    <w:rsid w:val="00B618AA"/>
    <w:rsid w:val="00B65AFF"/>
    <w:rsid w:val="00B67676"/>
    <w:rsid w:val="00B677EA"/>
    <w:rsid w:val="00B67842"/>
    <w:rsid w:val="00B70EC1"/>
    <w:rsid w:val="00B77DB4"/>
    <w:rsid w:val="00B77E77"/>
    <w:rsid w:val="00B82DCD"/>
    <w:rsid w:val="00B83EE2"/>
    <w:rsid w:val="00B91BF3"/>
    <w:rsid w:val="00BA59C1"/>
    <w:rsid w:val="00BA5E3F"/>
    <w:rsid w:val="00BA6ED1"/>
    <w:rsid w:val="00BB12F8"/>
    <w:rsid w:val="00BB3F97"/>
    <w:rsid w:val="00BC1402"/>
    <w:rsid w:val="00BC243B"/>
    <w:rsid w:val="00BC35F9"/>
    <w:rsid w:val="00BD1B7D"/>
    <w:rsid w:val="00BD1EBD"/>
    <w:rsid w:val="00BE017A"/>
    <w:rsid w:val="00BE05CD"/>
    <w:rsid w:val="00BE2486"/>
    <w:rsid w:val="00BE62A6"/>
    <w:rsid w:val="00C10F80"/>
    <w:rsid w:val="00C23459"/>
    <w:rsid w:val="00C25753"/>
    <w:rsid w:val="00C31CF7"/>
    <w:rsid w:val="00C33E61"/>
    <w:rsid w:val="00C415E1"/>
    <w:rsid w:val="00C46B74"/>
    <w:rsid w:val="00C506A6"/>
    <w:rsid w:val="00C51DF9"/>
    <w:rsid w:val="00C53D3F"/>
    <w:rsid w:val="00C53F0D"/>
    <w:rsid w:val="00C5417D"/>
    <w:rsid w:val="00C55DAC"/>
    <w:rsid w:val="00C56F94"/>
    <w:rsid w:val="00C5747F"/>
    <w:rsid w:val="00C60581"/>
    <w:rsid w:val="00C6254C"/>
    <w:rsid w:val="00C6355B"/>
    <w:rsid w:val="00C6373E"/>
    <w:rsid w:val="00C67183"/>
    <w:rsid w:val="00C706C6"/>
    <w:rsid w:val="00C71B2B"/>
    <w:rsid w:val="00C73A90"/>
    <w:rsid w:val="00C74561"/>
    <w:rsid w:val="00C7512B"/>
    <w:rsid w:val="00C75A8F"/>
    <w:rsid w:val="00C76A08"/>
    <w:rsid w:val="00C94068"/>
    <w:rsid w:val="00CA18EB"/>
    <w:rsid w:val="00CB0A54"/>
    <w:rsid w:val="00CB36DB"/>
    <w:rsid w:val="00CC1383"/>
    <w:rsid w:val="00CC7C9E"/>
    <w:rsid w:val="00CC7DA5"/>
    <w:rsid w:val="00CD048D"/>
    <w:rsid w:val="00CE1660"/>
    <w:rsid w:val="00CE2B5E"/>
    <w:rsid w:val="00CE6E2C"/>
    <w:rsid w:val="00CF000E"/>
    <w:rsid w:val="00CF048E"/>
    <w:rsid w:val="00CF4418"/>
    <w:rsid w:val="00CF5E87"/>
    <w:rsid w:val="00CF655A"/>
    <w:rsid w:val="00CF75C1"/>
    <w:rsid w:val="00D01C96"/>
    <w:rsid w:val="00D065E1"/>
    <w:rsid w:val="00D119BC"/>
    <w:rsid w:val="00D15D8D"/>
    <w:rsid w:val="00D22CDF"/>
    <w:rsid w:val="00D320B5"/>
    <w:rsid w:val="00D341C9"/>
    <w:rsid w:val="00D34D70"/>
    <w:rsid w:val="00D36040"/>
    <w:rsid w:val="00D416B4"/>
    <w:rsid w:val="00D479BA"/>
    <w:rsid w:val="00D52070"/>
    <w:rsid w:val="00D559E7"/>
    <w:rsid w:val="00D56055"/>
    <w:rsid w:val="00D56B01"/>
    <w:rsid w:val="00D62B38"/>
    <w:rsid w:val="00D72B25"/>
    <w:rsid w:val="00D7480B"/>
    <w:rsid w:val="00D80CFA"/>
    <w:rsid w:val="00D81D6F"/>
    <w:rsid w:val="00D82520"/>
    <w:rsid w:val="00D828BA"/>
    <w:rsid w:val="00D8307A"/>
    <w:rsid w:val="00D856DE"/>
    <w:rsid w:val="00D85726"/>
    <w:rsid w:val="00D85A75"/>
    <w:rsid w:val="00D86331"/>
    <w:rsid w:val="00D909D3"/>
    <w:rsid w:val="00D93B6B"/>
    <w:rsid w:val="00D9545B"/>
    <w:rsid w:val="00D95F72"/>
    <w:rsid w:val="00D967FD"/>
    <w:rsid w:val="00DA34BC"/>
    <w:rsid w:val="00DA3D70"/>
    <w:rsid w:val="00DA4A04"/>
    <w:rsid w:val="00DA5170"/>
    <w:rsid w:val="00DA7EF6"/>
    <w:rsid w:val="00DB63DA"/>
    <w:rsid w:val="00DC05B5"/>
    <w:rsid w:val="00DC12A7"/>
    <w:rsid w:val="00DC4371"/>
    <w:rsid w:val="00DC6B1F"/>
    <w:rsid w:val="00DC7100"/>
    <w:rsid w:val="00DD4B3E"/>
    <w:rsid w:val="00DD77A2"/>
    <w:rsid w:val="00DD7BD0"/>
    <w:rsid w:val="00DE0639"/>
    <w:rsid w:val="00DE260E"/>
    <w:rsid w:val="00DE678E"/>
    <w:rsid w:val="00DF109E"/>
    <w:rsid w:val="00E10A07"/>
    <w:rsid w:val="00E1712D"/>
    <w:rsid w:val="00E27EB1"/>
    <w:rsid w:val="00E30B0E"/>
    <w:rsid w:val="00E43A48"/>
    <w:rsid w:val="00E44974"/>
    <w:rsid w:val="00E46AF2"/>
    <w:rsid w:val="00E46CD7"/>
    <w:rsid w:val="00E47348"/>
    <w:rsid w:val="00E515CF"/>
    <w:rsid w:val="00E56CEF"/>
    <w:rsid w:val="00E56D10"/>
    <w:rsid w:val="00E57E7C"/>
    <w:rsid w:val="00E603D5"/>
    <w:rsid w:val="00E6069E"/>
    <w:rsid w:val="00E63C0D"/>
    <w:rsid w:val="00E64157"/>
    <w:rsid w:val="00E7112A"/>
    <w:rsid w:val="00E742D0"/>
    <w:rsid w:val="00E85FAB"/>
    <w:rsid w:val="00E9345F"/>
    <w:rsid w:val="00EA00BF"/>
    <w:rsid w:val="00EA0DCA"/>
    <w:rsid w:val="00EA1EA1"/>
    <w:rsid w:val="00EA5128"/>
    <w:rsid w:val="00EB400C"/>
    <w:rsid w:val="00EB6CCB"/>
    <w:rsid w:val="00EB7722"/>
    <w:rsid w:val="00EC6FB7"/>
    <w:rsid w:val="00ED1A1F"/>
    <w:rsid w:val="00ED3E6E"/>
    <w:rsid w:val="00ED7354"/>
    <w:rsid w:val="00ED7DF7"/>
    <w:rsid w:val="00EE02FE"/>
    <w:rsid w:val="00EE0BD0"/>
    <w:rsid w:val="00EE2109"/>
    <w:rsid w:val="00EE2D5F"/>
    <w:rsid w:val="00EE52CB"/>
    <w:rsid w:val="00EE6401"/>
    <w:rsid w:val="00EE6B7B"/>
    <w:rsid w:val="00EE75CB"/>
    <w:rsid w:val="00EF51EB"/>
    <w:rsid w:val="00F01D30"/>
    <w:rsid w:val="00F02902"/>
    <w:rsid w:val="00F07F56"/>
    <w:rsid w:val="00F21E14"/>
    <w:rsid w:val="00F25C47"/>
    <w:rsid w:val="00F26835"/>
    <w:rsid w:val="00F276C5"/>
    <w:rsid w:val="00F30102"/>
    <w:rsid w:val="00F327DB"/>
    <w:rsid w:val="00F45E66"/>
    <w:rsid w:val="00F470E2"/>
    <w:rsid w:val="00F50593"/>
    <w:rsid w:val="00F574B3"/>
    <w:rsid w:val="00F5794D"/>
    <w:rsid w:val="00F57E7D"/>
    <w:rsid w:val="00F62132"/>
    <w:rsid w:val="00F65D8A"/>
    <w:rsid w:val="00F75497"/>
    <w:rsid w:val="00F84C6F"/>
    <w:rsid w:val="00F91821"/>
    <w:rsid w:val="00F9185F"/>
    <w:rsid w:val="00F91FBA"/>
    <w:rsid w:val="00F92ABA"/>
    <w:rsid w:val="00F92B0E"/>
    <w:rsid w:val="00F96144"/>
    <w:rsid w:val="00FA6E01"/>
    <w:rsid w:val="00FB3C8D"/>
    <w:rsid w:val="00FB46FE"/>
    <w:rsid w:val="00FB4F9C"/>
    <w:rsid w:val="00FC05C7"/>
    <w:rsid w:val="00FC1F8F"/>
    <w:rsid w:val="00FC646E"/>
    <w:rsid w:val="00FE1013"/>
    <w:rsid w:val="00FE6DAB"/>
    <w:rsid w:val="00FE7998"/>
    <w:rsid w:val="00FE7CE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2F498"/>
  <w15:docId w15:val="{6B236D09-64F7-4D1E-96EF-F1AD04D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F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FE0"/>
    <w:pPr>
      <w:keepNext/>
      <w:numPr>
        <w:numId w:val="1"/>
      </w:numPr>
      <w:spacing w:after="240"/>
      <w:jc w:val="left"/>
      <w:outlineLvl w:val="0"/>
    </w:pPr>
    <w:rPr>
      <w:rFonts w:eastAsia="Adobe Gothic Std B"/>
      <w:b/>
      <w:bCs/>
      <w:color w:val="005DA4"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4F"/>
    <w:pPr>
      <w:spacing w:after="240"/>
      <w:jc w:val="left"/>
      <w:outlineLvl w:val="1"/>
    </w:pPr>
    <w:rPr>
      <w:b/>
      <w:color w:val="005DA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C56"/>
    <w:pPr>
      <w:keepNext/>
      <w:spacing w:after="240"/>
      <w:ind w:left="426" w:hanging="66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6BE"/>
    <w:pPr>
      <w:keepNext/>
      <w:spacing w:before="240"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1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1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1BF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FE0"/>
    <w:rPr>
      <w:rFonts w:ascii="Times New Roman" w:eastAsia="Adobe Gothic Std B" w:hAnsi="Times New Roman"/>
      <w:b/>
      <w:bCs/>
      <w:color w:val="005DA4"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E204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44C56"/>
    <w:rPr>
      <w:rFonts w:ascii="Times New Roman" w:hAnsi="Times New Roman"/>
      <w:b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2606BE"/>
    <w:rPr>
      <w:rFonts w:ascii="Times New Roman" w:hAnsi="Times New Roman"/>
      <w:b/>
      <w:bCs/>
      <w:color w:val="005DA4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1B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1B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1B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1B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1B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421B8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21B8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1B8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uiPriority w:val="11"/>
    <w:rsid w:val="002421B8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B91BF3"/>
    <w:rPr>
      <w:b/>
      <w:bCs/>
    </w:rPr>
  </w:style>
  <w:style w:type="character" w:styleId="Emphasis">
    <w:name w:val="Emphasis"/>
    <w:uiPriority w:val="20"/>
    <w:qFormat/>
    <w:rsid w:val="00B91BF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1BF3"/>
    <w:rPr>
      <w:szCs w:val="32"/>
    </w:rPr>
  </w:style>
  <w:style w:type="paragraph" w:styleId="ListParagraph">
    <w:name w:val="List Paragraph"/>
    <w:basedOn w:val="Normal"/>
    <w:uiPriority w:val="34"/>
    <w:qFormat/>
    <w:rsid w:val="00B9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BF3"/>
    <w:rPr>
      <w:i/>
    </w:rPr>
  </w:style>
  <w:style w:type="character" w:customStyle="1" w:styleId="QuoteChar">
    <w:name w:val="Quote Char"/>
    <w:link w:val="Quote"/>
    <w:uiPriority w:val="29"/>
    <w:rsid w:val="00B91B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1BF3"/>
    <w:rPr>
      <w:b/>
      <w:i/>
      <w:sz w:val="24"/>
    </w:rPr>
  </w:style>
  <w:style w:type="character" w:styleId="SubtleEmphasis">
    <w:name w:val="Subtle Emphasis"/>
    <w:uiPriority w:val="19"/>
    <w:qFormat/>
    <w:rsid w:val="00B91BF3"/>
    <w:rPr>
      <w:i/>
      <w:color w:val="5A5A5A"/>
    </w:rPr>
  </w:style>
  <w:style w:type="character" w:styleId="IntenseEmphasis">
    <w:name w:val="Intense Emphasis"/>
    <w:uiPriority w:val="21"/>
    <w:qFormat/>
    <w:rsid w:val="00B91B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1B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1BF3"/>
    <w:rPr>
      <w:b/>
      <w:sz w:val="24"/>
      <w:u w:val="single"/>
    </w:rPr>
  </w:style>
  <w:style w:type="character" w:styleId="BookTitle">
    <w:name w:val="Book Title"/>
    <w:uiPriority w:val="33"/>
    <w:qFormat/>
    <w:rsid w:val="00B91B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1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F33CF"/>
    <w:pPr>
      <w:tabs>
        <w:tab w:val="left" w:pos="440"/>
        <w:tab w:val="right" w:leader="dot" w:pos="9016"/>
      </w:tabs>
      <w:spacing w:before="120" w:after="120"/>
    </w:pPr>
    <w:rPr>
      <w:b/>
      <w:sz w:val="20"/>
    </w:rPr>
  </w:style>
  <w:style w:type="character" w:styleId="Hyperlink">
    <w:name w:val="Hyperlink"/>
    <w:unhideWhenUsed/>
    <w:rsid w:val="00EE21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1383"/>
    <w:pPr>
      <w:tabs>
        <w:tab w:val="left" w:pos="426"/>
        <w:tab w:val="right" w:leader="dot" w:pos="9016"/>
      </w:tabs>
      <w:spacing w:before="60" w:after="60"/>
    </w:pPr>
    <w:rPr>
      <w:caps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109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1"/>
    <w:rsid w:val="0012671F"/>
    <w:rPr>
      <w:rFonts w:ascii="Times New Roman" w:hAnsi="Times New Roman"/>
      <w:sz w:val="24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4ABE"/>
    <w:pPr>
      <w:tabs>
        <w:tab w:val="right" w:leader="dot" w:pos="9016"/>
      </w:tabs>
      <w:ind w:left="1276"/>
      <w:jc w:val="left"/>
    </w:pPr>
    <w:rPr>
      <w:rFonts w:eastAsia="MS Mincho" w:cs="Arial"/>
      <w:i/>
      <w:sz w:val="20"/>
      <w:szCs w:val="22"/>
      <w:lang w:eastAsia="ja-JP"/>
    </w:rPr>
  </w:style>
  <w:style w:type="character" w:customStyle="1" w:styleId="ColorfulGrid-Accent1Char">
    <w:name w:val="Colorful Grid - Accent 1 Char"/>
    <w:link w:val="ColorfulGrid-Accent1"/>
    <w:uiPriority w:val="29"/>
    <w:rsid w:val="0035115D"/>
    <w:rPr>
      <w:i/>
      <w:sz w:val="24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35115D"/>
    <w:rPr>
      <w:b/>
      <w:i/>
      <w:sz w:val="24"/>
    </w:rPr>
  </w:style>
  <w:style w:type="character" w:customStyle="1" w:styleId="Accentuationdiscrte">
    <w:name w:val="Accentuation discrète"/>
    <w:uiPriority w:val="19"/>
    <w:qFormat/>
    <w:rsid w:val="0035115D"/>
    <w:rPr>
      <w:i/>
      <w:color w:val="5A5A5A"/>
    </w:rPr>
  </w:style>
  <w:style w:type="character" w:customStyle="1" w:styleId="Forteaccentuation">
    <w:name w:val="Forte accentuation"/>
    <w:uiPriority w:val="21"/>
    <w:qFormat/>
    <w:rsid w:val="0035115D"/>
    <w:rPr>
      <w:b/>
      <w:i/>
      <w:sz w:val="24"/>
      <w:szCs w:val="24"/>
      <w:u w:val="single"/>
    </w:rPr>
  </w:style>
  <w:style w:type="character" w:customStyle="1" w:styleId="Rfrenceple">
    <w:name w:val="Référence pâle"/>
    <w:uiPriority w:val="31"/>
    <w:qFormat/>
    <w:rsid w:val="0035115D"/>
    <w:rPr>
      <w:sz w:val="24"/>
      <w:szCs w:val="24"/>
      <w:u w:val="single"/>
    </w:rPr>
  </w:style>
  <w:style w:type="character" w:customStyle="1" w:styleId="Rfrenceintense">
    <w:name w:val="Référence intense"/>
    <w:uiPriority w:val="32"/>
    <w:qFormat/>
    <w:rsid w:val="0035115D"/>
    <w:rPr>
      <w:b/>
      <w:sz w:val="24"/>
      <w:u w:val="single"/>
    </w:rPr>
  </w:style>
  <w:style w:type="character" w:customStyle="1" w:styleId="Titredulivre">
    <w:name w:val="Titre du livre"/>
    <w:uiPriority w:val="33"/>
    <w:qFormat/>
    <w:rsid w:val="0035115D"/>
    <w:rPr>
      <w:rFonts w:ascii="Cambria" w:eastAsia="Times New Roman" w:hAnsi="Cambria"/>
      <w:b/>
      <w:i/>
      <w:sz w:val="24"/>
      <w:szCs w:val="24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35115D"/>
    <w:pPr>
      <w:jc w:val="both"/>
      <w:outlineLvl w:val="9"/>
    </w:pPr>
    <w:rPr>
      <w:rFonts w:ascii="Arial" w:eastAsia="Times New Roman" w:hAnsi="Arial"/>
      <w:color w:val="auto"/>
      <w:sz w:val="32"/>
      <w:szCs w:val="32"/>
    </w:rPr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R,C"/>
    <w:uiPriority w:val="99"/>
    <w:unhideWhenUsed/>
    <w:qFormat/>
    <w:rsid w:val="0035115D"/>
    <w:rPr>
      <w:vertAlign w:val="superscript"/>
    </w:rPr>
  </w:style>
  <w:style w:type="paragraph" w:customStyle="1" w:styleId="Default">
    <w:name w:val="Default"/>
    <w:rsid w:val="00351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n,footnote text,Fußnotentext Char Char Char Char,Fußnotentext Char Char Char,Footnotetext,Footnotetext1,ftx,Footnotetext2,ftx1,Footnotetext3,ftx2,Footnotetext4,ftx3,Footnotetext5,ftx4,Footnotetext6,Footnotetext7,Footnotetext8"/>
    <w:basedOn w:val="Normal"/>
    <w:link w:val="FootnoteTextChar"/>
    <w:uiPriority w:val="99"/>
    <w:unhideWhenUsed/>
    <w:rsid w:val="0035115D"/>
    <w:rPr>
      <w:sz w:val="20"/>
      <w:szCs w:val="20"/>
    </w:rPr>
  </w:style>
  <w:style w:type="character" w:customStyle="1" w:styleId="FootnoteTextChar">
    <w:name w:val="Footnote Text Char"/>
    <w:aliases w:val="fn Char,footnote text Char,Fußnotentext Char Char Char Char Char,Fußnotentext Char Char Char Char1,Footnotetext Char,Footnotetext1 Char,ftx Char,Footnotetext2 Char,ftx1 Char,Footnotetext3 Char,ftx2 Char,Footnotetext4 Char,ftx3 Char"/>
    <w:link w:val="FootnoteText"/>
    <w:uiPriority w:val="99"/>
    <w:rsid w:val="0035115D"/>
    <w:rPr>
      <w:rFonts w:ascii="Times New Roman" w:hAnsi="Times New Roman"/>
      <w:lang w:val="sk-SK" w:eastAsia="en-US"/>
    </w:rPr>
  </w:style>
  <w:style w:type="character" w:styleId="CommentReference">
    <w:name w:val="annotation reference"/>
    <w:uiPriority w:val="99"/>
    <w:semiHidden/>
    <w:unhideWhenUsed/>
    <w:rsid w:val="0035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1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115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15D"/>
    <w:rPr>
      <w:rFonts w:ascii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35115D"/>
    <w:rPr>
      <w:color w:val="800080"/>
      <w:u w:val="single"/>
    </w:rPr>
  </w:style>
  <w:style w:type="table" w:styleId="TableGrid">
    <w:name w:val="Table Grid"/>
    <w:basedOn w:val="TableNormal"/>
    <w:uiPriority w:val="59"/>
    <w:rsid w:val="0035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115D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15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15D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15D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15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15D"/>
    <w:pPr>
      <w:ind w:left="1920"/>
      <w:jc w:val="left"/>
    </w:pPr>
    <w:rPr>
      <w:rFonts w:ascii="Calibri" w:hAnsi="Calibri" w:cs="Calibri"/>
      <w:sz w:val="18"/>
      <w:szCs w:val="18"/>
    </w:rPr>
  </w:style>
  <w:style w:type="table" w:styleId="ColorfulGrid-Accent1">
    <w:name w:val="Colorful Grid Accent 1"/>
    <w:basedOn w:val="TableNormal"/>
    <w:link w:val="ColorfulGrid-Accent1Char"/>
    <w:uiPriority w:val="29"/>
    <w:rsid w:val="0035115D"/>
    <w:rPr>
      <w:i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35115D"/>
    <w:rPr>
      <w:b/>
      <w:i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">
    <w:name w:val="HEADING"/>
    <w:basedOn w:val="Normal"/>
    <w:link w:val="HEADINGChar"/>
    <w:qFormat/>
    <w:rsid w:val="000F33CF"/>
    <w:rPr>
      <w:b/>
      <w:color w:val="005DA4"/>
    </w:rPr>
  </w:style>
  <w:style w:type="character" w:customStyle="1" w:styleId="MediumShading1-Accent3Char">
    <w:name w:val="Medium Shading 1 - Accent 3 Char"/>
    <w:link w:val="MediumShading1-Accent3"/>
    <w:uiPriority w:val="29"/>
    <w:rsid w:val="00B3748D"/>
    <w:rPr>
      <w:i/>
      <w:sz w:val="24"/>
      <w:szCs w:val="24"/>
    </w:rPr>
  </w:style>
  <w:style w:type="character" w:customStyle="1" w:styleId="HEADINGChar">
    <w:name w:val="HEADING Char"/>
    <w:link w:val="HEADING"/>
    <w:rsid w:val="000F33C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MediumShading2-Accent3Char">
    <w:name w:val="Medium Shading 2 - Accent 3 Char"/>
    <w:link w:val="MediumShading2-Accent3"/>
    <w:uiPriority w:val="30"/>
    <w:rsid w:val="00B3748D"/>
    <w:rPr>
      <w:b/>
      <w:i/>
      <w:sz w:val="24"/>
    </w:rPr>
  </w:style>
  <w:style w:type="table" w:styleId="MediumShading1-Accent3">
    <w:name w:val="Medium Shading 1 Accent 3"/>
    <w:basedOn w:val="TableNormal"/>
    <w:link w:val="MediumShading1-Accent3Char"/>
    <w:uiPriority w:val="29"/>
    <w:rsid w:val="00B3748D"/>
    <w:rPr>
      <w:i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link w:val="MediumShading2-Accent3Char"/>
    <w:uiPriority w:val="30"/>
    <w:rsid w:val="00B3748D"/>
    <w:rPr>
      <w:b/>
      <w:i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259B6"/>
    <w:pPr>
      <w:jc w:val="left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9B6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259B6"/>
    <w:rPr>
      <w:vertAlign w:val="superscript"/>
    </w:rPr>
  </w:style>
  <w:style w:type="character" w:customStyle="1" w:styleId="apple-converted-space">
    <w:name w:val="apple-converted-space"/>
    <w:basedOn w:val="DefaultParagraphFont"/>
    <w:rsid w:val="008B5026"/>
  </w:style>
  <w:style w:type="character" w:customStyle="1" w:styleId="FootnoteTextChar1">
    <w:name w:val="Footnote Text Char1"/>
    <w:uiPriority w:val="99"/>
    <w:locked/>
    <w:rsid w:val="001D419A"/>
    <w:rPr>
      <w:lang w:val="sk-SK" w:eastAsia="it-IT" w:bidi="ar-SA"/>
    </w:rPr>
  </w:style>
  <w:style w:type="paragraph" w:styleId="NormalWeb">
    <w:name w:val="Normal (Web)"/>
    <w:basedOn w:val="Normal"/>
    <w:uiPriority w:val="99"/>
    <w:semiHidden/>
    <w:unhideWhenUsed/>
    <w:rsid w:val="003901D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Style1">
    <w:name w:val="Style1"/>
    <w:basedOn w:val="EndnoteText"/>
    <w:qFormat/>
    <w:rsid w:val="00617099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0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dps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ps.europa.eu/sites/edp/files/publication/19-04-02_edps_opinion_budapest_convention_en.pdf" TargetMode="External"/><Relationship Id="rId1" Type="http://schemas.openxmlformats.org/officeDocument/2006/relationships/hyperlink" Target="https://edps.europa.eu/sites/edp/files/publication/19-04-02_edps_opinion_on_eu_us_agreement_on_e-evidenc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Amanda Joyce"/>
    <f:field ref="casefile_EDPSOM_103_3700_FieldCaseNumber" par="" text="2019-0881"/>
    <f:field ref="casefile_EDPSOM_103_3700_FieldTitle" par="" text="Passenger Name Record (PNR) data transfer negotiations with Japan"/>
    <f:field ref="casefile_EDPSOM_103_3700_FieldClass" par="" text="04.01.03 Consultation on international agreements"/>
    <f:field ref="casefile_EDPSOM_103_3700_FieldInitiator" par="" text="EDPS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  <f:field ref="objname" par="" text="Opinion_Recommendation_PNR_Japan_fin" edit="true"/>
    <f:field ref="objsubject" par="" text="" edit="true"/>
    <f:field ref="objcreatedby" par="" text="Angelov, Plamen"/>
    <f:field ref="objcreatedat" par="" date="2019-10-24T10:39:03" text="Oct 24, 2019 10:39:03 AM"/>
    <f:field ref="objchangedby" par="" text="Angelov, Plamen"/>
    <f:field ref="objmodifiedat" par="" date="2019-10-24T16:47:31" text="Oct 24, 2019 4:47:31 P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EDPSOM_103_3700_FieldSensitivity" text="Sensitivity"/>
    <f:field ref="EDPSOM_103_3700_FieldExternalRef" text="Sender's reference"/>
    <f:field ref="EDPSOM_103_3700_FieldDescription" text="Description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Case file">
    <f:field ref="casefile_EDPSOM_103_3700_FieldCaseNumber" text="Case number"/>
    <f:field ref="casefile_EDPSOM_103_3700_FieldTitle" text="Title"/>
    <f:field ref="casefile_EDPSOM_103_3700_FieldClass" text="Class"/>
    <f:field ref="casefile_EDPSOM_103_3700_FieldInitiator" text="Initiator"/>
    <f:field ref="casefile_EDPSOM_103_3700_FieldInterinstitutional" text="Interinstitutional numb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D27F19-D4ED-4591-9651-939B3E1F9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DED52-80E3-4A45-BBAD-45D10CBF433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1</ap:Pages>
  <ap:Words>1443</ap:Words>
  <ap:Characters>8229</ap:Characters>
  <ap:Application>Microsoft Office Word</ap:Application>
  <ap:DocSecurity>0</ap:DocSecurity>
  <ap:Lines>68</ap:Lines>
  <ap:Paragraphs>19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CDT</ap:Company>
  <ap:LinksUpToDate>false</ap:LinksUpToDate>
  <ap:CharactersWithSpaces>9653</ap:CharactersWithSpaces>
  <ap:SharedDoc>false</ap:SharedDoc>
  <ap:HLinks>
    <vt:vector baseType="variant" size="222"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_Toc418070558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_Toc418070557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_Toc418070556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_Toc418070555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_Toc418070554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_Toc418070553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_Toc418070552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_Toc418070551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_Toc418070550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_Toc418070549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_Toc418070548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_Toc418070547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_Toc418070546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_Toc418070545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_Toc418070544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_Toc418070543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_Toc418070542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_Toc418070541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_Toc418070540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_Toc418070539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_Toc418070538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_Toc418070537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_Toc418070536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_Toc418070535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_Toc418070534</vt:lpwstr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http://idpc.gov.mt/dbfile.aspx/Opinion3_2013.pdf</vt:lpwstr>
      </vt:variant>
      <vt:variant>
        <vt:lpwstr/>
      </vt:variant>
      <vt:variant>
        <vt:i4>524333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http://ec.europa.eu/justice/policies/privacy/docs/wpdocs/2010/wp169_en.pdf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http://ec.europa.eu/justice/data-protection/article-29/documentation/opinion-recommendation/index_en.htm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https://secure.edps.europa.eu/EDPSWEB/edps/EDPS/IPEN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http://www.enisa.europa.eu/activities/Resilience-and-CIIP/critical-applications/smartphone-security-1/smartphone-secure-development-guidelines/at_download/fullReport</vt:lpwstr>
      </vt:variant>
      <vt:variant>
        <vt:lpwstr/>
      </vt:variant>
      <vt:variant>
        <vt:i4>2818081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https://wcd.coe.int/ViewDoc.jsp?id=1710949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http://online.wsj.com/article/SB10001424052748704694004576020083703574602.html</vt:lpwstr>
      </vt:variant>
      <vt:variant>
        <vt:lpwstr/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http://ec.europa.eu/justice/data-protection/article-29/documentation/other-document/files/2015/20150205_letter_art29wp_ec_health_data_after_plenary_en.pdf</vt:lpwstr>
      </vt:variant>
      <vt:variant>
        <vt:lpwstr/>
      </vt:variant>
      <vt:variant>
        <vt:i4>6291531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http://ec.europa.eu/justice/data-protection/article-29/documentation/opinion-recommendation/files/2014/wp216_en.pdf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http://ec.europa.eu/justice/policies/privacy/docs/wpdocs/2007/wp136_en.pdf</vt:lpwstr>
      </vt:variant>
      <vt:variant>
        <vt:lpwstr/>
      </vt:variant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https://secure.edps.europa.eu/EDPSWEB/webdav/site/mySite/shared/Documents/Consultation/Thematic%20Guidelines/14-11-25_Financial_Guidelines_EN.pdf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http://ec.europa.eu/justice/data-protection/article-29/documentation/opinion-recommendation/files/2013/wp202_en.pdf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12</revision>
  <lastPrinted>2019-10-24T14:21:00.0000000Z</lastPrinted>
  <dcterms:created xsi:type="dcterms:W3CDTF">2019-10-25T09:45:00.0000000Z</dcterms:created>
  <dcterms:modified xsi:type="dcterms:W3CDTF">2019-11-08T13:46:00.0000000Z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PSOM@103.3700:edpscasenumber">
    <vt:lpwstr>2019-0881</vt:lpwstr>
  </property>
  <property fmtid="{D5CDD505-2E9C-101B-9397-08002B2CF9AE}" pid="3" name="FSC#EDPSOM@103.3700:edpscasetitle">
    <vt:lpwstr>Passenger Name Record (PNR) data transfer negotiations with Japan</vt:lpwstr>
  </property>
  <property fmtid="{D5CDD505-2E9C-101B-9397-08002B2CF9AE}" pid="4" name="FSC#EDPSOM@103.3700:edpscasedescription">
    <vt:lpwstr>Passenger Name Record (PNR) data transfer negotiations with Japan</vt:lpwstr>
  </property>
  <property fmtid="{D5CDD505-2E9C-101B-9397-08002B2CF9AE}" pid="5" name="FSC#EDPSOM@103.3700:edpsarrivalnumber">
    <vt:lpwstr/>
  </property>
  <property fmtid="{D5CDD505-2E9C-101B-9397-08002B2CF9AE}" pid="6" name="FSC#EDPSOM@103.3700:edpsdeparturenumber">
    <vt:lpwstr/>
  </property>
  <property fmtid="{D5CDD505-2E9C-101B-9397-08002B2CF9AE}" pid="7" name="FSC#COOSYSTEM@1.1:Container">
    <vt:lpwstr>COO.6515.100.4.380260</vt:lpwstr>
  </property>
  <property fmtid="{D5CDD505-2E9C-101B-9397-08002B2CF9AE}" pid="8" name="FSC#FSCFOLIO@1.1001:docpropproject">
    <vt:lpwstr/>
  </property>
</Properties>
</file>