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2F5DA1" w:rsidR="00993934" w:rsidP="00306297" w:rsidRDefault="00993934" w14:paraId="3AA01DBC" w14:textId="7167B3F8">
      <w:pPr>
        <w:rPr>
          <w:b/>
          <w:i/>
        </w:rPr>
      </w:pPr>
      <w:r w:rsidRPr="002F5DA1">
        <w:rPr>
          <w:b/>
        </w:rPr>
        <w:t>Povzetek mnenja evropskega nadzornika za varstvo podatkov o pogajalskem mandatu o sporazumu med EU in Japonsko za prenos in uporabo podatkov iz evidence podatkov o potnikih</w:t>
      </w:r>
    </w:p>
    <w:p w:rsidRPr="002F5DA1" w:rsidR="00993934" w:rsidP="00306297" w:rsidRDefault="00993934" w14:paraId="3B817892" w14:textId="77777777">
      <w:pPr>
        <w:rPr>
          <w:i/>
        </w:rPr>
      </w:pPr>
    </w:p>
    <w:p w:rsidRPr="002F5DA1" w:rsidR="00993934" w:rsidP="00993934" w:rsidRDefault="00993934" w14:paraId="2E31B8C9" w14:textId="77777777">
      <w:pPr>
        <w:rPr>
          <w:i/>
        </w:rPr>
      </w:pPr>
      <w:r w:rsidRPr="002F5DA1">
        <w:rPr>
          <w:i/>
        </w:rPr>
        <w:t xml:space="preserve">[Celotno besedilo tega mnenja je na voljo v angleščini, francoščini in nemščini na spletišču evropskega nadzornika za varstvo podatkov (v nadaljnjem besedilu: ENVP), </w:t>
      </w:r>
      <w:hyperlink w:history="1" r:id="rId10">
        <w:r w:rsidRPr="002F5DA1">
          <w:rPr>
            <w:rStyle w:val="Hyperlink"/>
            <w:i/>
          </w:rPr>
          <w:t>www.edps.europa.eu</w:t>
        </w:r>
      </w:hyperlink>
      <w:r w:rsidRPr="002F5DA1">
        <w:rPr>
          <w:i/>
        </w:rPr>
        <w:t>.]</w:t>
      </w:r>
    </w:p>
    <w:p w:rsidRPr="002F5DA1" w:rsidR="00993934" w:rsidP="00306297" w:rsidRDefault="00993934" w14:paraId="56FC0468" w14:textId="77777777">
      <w:pPr>
        <w:rPr>
          <w:b/>
          <w:color w:val="005DA4"/>
        </w:rPr>
      </w:pPr>
    </w:p>
    <w:p w:rsidRPr="002F5DA1" w:rsidR="0010766F" w:rsidP="00993934" w:rsidRDefault="0010766F" w14:paraId="22479FE6" w14:textId="5A1B18ED">
      <w:pPr>
        <w:spacing w:after="200"/>
      </w:pPr>
      <w:r w:rsidRPr="002F5DA1">
        <w:t>Evropska komisija je 27. septembra 2019 sprejela priporočilo za Sklep Sveta o odobritvi začetka pogajanj o sporazumu med Evropsko unijo in Japonsko za prenos in uporabo podatkov iz evidence podatkov o potnikih (PNR) z namenom preprečevanja terorizma in drugih hudih mednarodnih kaznivih dejanj ter boja proti njim. Namen predvidenega sporazuma je opredeliti pravno podlago in pogoje, pod katerimi bodo letalski prevozniki pooblaščeni, da na Japonsko prenesejo podatke iz PNR na letih med EU in Japonsko na način, ki je skladen z zahtevami prava EU, vključno z Listino EU o temeljnih pravicah.</w:t>
      </w:r>
    </w:p>
    <w:p w:rsidRPr="002F5DA1" w:rsidR="00303072" w:rsidP="00993934" w:rsidRDefault="00303072" w14:paraId="75FC61D9" w14:textId="556B0E90">
      <w:pPr>
        <w:spacing w:after="200"/>
      </w:pPr>
      <w:r w:rsidRPr="002F5DA1">
        <w:t>ENVP pozdravlja, da je cilj pogajalskega mandata zagotoviti, da se v celoti upoštevajo temeljne pravice in svoboščine iz členov 7 in 8 Listine EU o temeljnih pravicah ter načeli nujnosti in sorazmernosti, kot ju Sodišče razlaga v svojem Mnenju 1/15 o sporazumu med Kanado in EU o prenosu in obdelavi podatkov iz evidence podatkov o potnikih.</w:t>
      </w:r>
    </w:p>
    <w:p w:rsidRPr="002F5DA1" w:rsidR="0010766F" w:rsidP="00993934" w:rsidRDefault="00FC1F8F" w14:paraId="67D55334" w14:textId="3CE3783A">
      <w:pPr>
        <w:spacing w:after="200"/>
      </w:pPr>
      <w:r w:rsidRPr="002F5DA1">
        <w:t>Glede na to, kako bo predvideni sporazum vplival na temeljne pravice zelo velikega števila posameznikov, ki niso vpleteni v kriminalne dejavnosti, ENVP meni, da bi moral vsebovati vse potrebne materialnopravne in postopkovne zaščitne ukrepe, da se zagotovi sorazmernost sistema PNR ter da se poseganje v pravico do zasebnosti in varstva podatkov omeji le na nujno potrebno in upravičeno glede na splošni interes Unije. Zato ENVP daje več priporočil za izboljšanje pogajalskih smernic, kot so:</w:t>
      </w:r>
    </w:p>
    <w:p w:rsidRPr="002F5DA1" w:rsidR="00303072" w:rsidP="00993934" w:rsidRDefault="00303072" w14:paraId="7353752B" w14:textId="46C0C7A7">
      <w:pPr>
        <w:pStyle w:val="ListParagraph"/>
        <w:numPr>
          <w:ilvl w:val="0"/>
          <w:numId w:val="22"/>
        </w:numPr>
      </w:pPr>
      <w:r w:rsidRPr="002F5DA1">
        <w:t>strog pristop glede nujnosti in sorazmernosti sistema PNR;</w:t>
      </w:r>
    </w:p>
    <w:p w:rsidRPr="002F5DA1" w:rsidR="00F5794D" w:rsidP="00993934" w:rsidRDefault="00303072" w14:paraId="78BEFD50" w14:textId="07DBD786">
      <w:pPr>
        <w:pStyle w:val="ListParagraph"/>
        <w:numPr>
          <w:ilvl w:val="0"/>
          <w:numId w:val="22"/>
        </w:numPr>
      </w:pPr>
      <w:r w:rsidRPr="002F5DA1">
        <w:t>v skladu z načelom omejitve namena bi morala biti kakršna koli nadaljnja uporaba prenesenih podatkov iz PNR za druge namene zelo dobro utemeljena, jasno in natančno opredeljena ter omejena le na nujno potrebno;</w:t>
      </w:r>
    </w:p>
    <w:p w:rsidRPr="002F5DA1" w:rsidR="00303072" w:rsidP="00993934" w:rsidRDefault="00303072" w14:paraId="30AE3CA2" w14:textId="08E13F22">
      <w:pPr>
        <w:pStyle w:val="ListParagraph"/>
        <w:numPr>
          <w:ilvl w:val="0"/>
          <w:numId w:val="22"/>
        </w:numPr>
      </w:pPr>
      <w:r w:rsidRPr="002F5DA1">
        <w:t>Sklep Sveta o odobritvi začetka pogajanj bi se moral sklicevati tudi na materialnopravno podlago, vključno s členom 16 Pogodbe o delovanju Evropske unije, in ne le na postopkovno pravno podlago;</w:t>
      </w:r>
    </w:p>
    <w:p w:rsidRPr="002F5DA1" w:rsidR="00F5794D" w:rsidP="00993934" w:rsidRDefault="00303072" w14:paraId="5208CF56" w14:textId="6CE040D8">
      <w:pPr>
        <w:pStyle w:val="ListParagraph"/>
        <w:numPr>
          <w:ilvl w:val="0"/>
          <w:numId w:val="22"/>
        </w:numPr>
      </w:pPr>
      <w:r w:rsidRPr="002F5DA1">
        <w:t xml:space="preserve">posebno pozornost bi bilo treba nameniti preprečevanju tveganja posrednega razkritja posebnih vrst podatkov o letalskih potnikih in tveganja ponovne identifikacije posameznikov po </w:t>
      </w:r>
      <w:proofErr w:type="spellStart"/>
      <w:r w:rsidRPr="002F5DA1">
        <w:t>anonimizaciji</w:t>
      </w:r>
      <w:proofErr w:type="spellEnd"/>
      <w:r w:rsidRPr="002F5DA1">
        <w:t xml:space="preserve"> podatkov iz PNR, ki se nanašajo nanje;</w:t>
      </w:r>
    </w:p>
    <w:p w:rsidRPr="002F5DA1" w:rsidR="009A64EB" w:rsidP="00993934" w:rsidRDefault="009A64EB" w14:paraId="3706F806" w14:textId="327024A2">
      <w:pPr>
        <w:pStyle w:val="ListParagraph"/>
        <w:numPr>
          <w:ilvl w:val="0"/>
          <w:numId w:val="22"/>
        </w:numPr>
        <w:spacing w:after="200"/>
      </w:pPr>
      <w:r w:rsidRPr="002F5DA1">
        <w:t>predvideni sporazum bi moral vsebovati določbe, ki bi omogočale, da se njegova uporaba prekine, če bi se kršila pravila iz sporazuma, in da njegova veljavnost preneha, če je neskladnost resna in trajna.</w:t>
      </w:r>
    </w:p>
    <w:p w:rsidRPr="002F5DA1" w:rsidR="0010766F" w:rsidP="00993934" w:rsidRDefault="0010766F" w14:paraId="2165D998" w14:textId="3B8E35C4">
      <w:pPr>
        <w:spacing w:after="200"/>
      </w:pPr>
      <w:r w:rsidRPr="002F5DA1">
        <w:t>V tem mnenju so navedena nadaljnja podrobna priporočila ENVP.</w:t>
      </w:r>
    </w:p>
    <w:p w:rsidRPr="002F5DA1" w:rsidR="006031EC" w:rsidP="00993934" w:rsidRDefault="0010766F" w14:paraId="5B5966C5" w14:textId="20FEC9B7">
      <w:pPr>
        <w:spacing w:after="200"/>
      </w:pPr>
      <w:r w:rsidRPr="002F5DA1">
        <w:t>ENVP je institucijam še vedno na voljo za nadaljnje svetovanje med pogajanji. Poleg tega pričakuje, da se bodo z njim posvetovale tudi v nadaljnjih fazah dogovarjanja o besedilu osnutka sporazuma v skladu s členom 42 Uredbe (EU) 2018/1725.</w:t>
      </w:r>
    </w:p>
    <w:p w:rsidRPr="002F5DA1" w:rsidR="006031EC" w:rsidRDefault="006031EC" w14:paraId="698D4805" w14:textId="77777777">
      <w:pPr>
        <w:jc w:val="left"/>
      </w:pPr>
      <w:r w:rsidRPr="002F5DA1">
        <w:br w:type="page"/>
      </w:r>
    </w:p>
    <w:p w:rsidRPr="002F5DA1" w:rsidR="002B4019" w:rsidP="00993934" w:rsidRDefault="006A20B1" w14:paraId="7E3E9A85" w14:textId="25B99B66">
      <w:pPr>
        <w:pStyle w:val="Heading1"/>
        <w:keepLines/>
        <w:numPr>
          <w:ilvl w:val="0"/>
          <w:numId w:val="2"/>
        </w:numPr>
        <w:spacing w:after="200"/>
        <w:jc w:val="both"/>
        <w:rPr>
          <w:sz w:val="32"/>
          <w:szCs w:val="32"/>
        </w:rPr>
      </w:pPr>
      <w:bookmarkStart w:name="_Toc425509692" w:id="0"/>
      <w:r w:rsidRPr="002F5DA1">
        <w:rPr>
          <w:sz w:val="32"/>
          <w:szCs w:val="32"/>
        </w:rPr>
        <w:lastRenderedPageBreak/>
        <w:tab/>
      </w:r>
      <w:bookmarkStart w:name="_Toc22124185" w:id="1"/>
      <w:r w:rsidRPr="002F5DA1">
        <w:rPr>
          <w:sz w:val="32"/>
          <w:szCs w:val="32"/>
        </w:rPr>
        <w:t>UVOD IN OZADJE</w:t>
      </w:r>
      <w:bookmarkEnd w:id="1"/>
    </w:p>
    <w:p w:rsidRPr="002F5DA1" w:rsidR="009F5880" w:rsidP="00EA1EA1" w:rsidRDefault="00040910" w14:paraId="2EE4956E" w14:textId="77777777">
      <w:pPr>
        <w:pStyle w:val="ListParagraph"/>
        <w:numPr>
          <w:ilvl w:val="0"/>
          <w:numId w:val="11"/>
        </w:numPr>
        <w:spacing w:after="240"/>
      </w:pPr>
      <w:r w:rsidRPr="002F5DA1">
        <w:t xml:space="preserve">Evropska komisija je 27. septembra 2019 sprejela priporočilo za Sklep Sveta o odobritvi začetka pogajanj o sporazumu med Evropsko unijo (EU) in Japonsko za prenos in uporabo podatkov iz evidence podatkov o potnikih (PNR) z namenom preprečevanja terorizma in drugih hudih mednarodnih kaznivih dejanj ter boja proti njim. Priloga k priporočilu (v nadaljnjem besedilu: priloga) vsebuje pogajalske smernice, ki jih je Svet pripravil za Komisijo, </w:t>
      </w:r>
      <w:r w:rsidRPr="002F5DA1">
        <w:rPr>
          <w:i/>
        </w:rPr>
        <w:t>tj. </w:t>
      </w:r>
      <w:r w:rsidRPr="002F5DA1">
        <w:t xml:space="preserve"> cilje, za katere bi si Komisija morala prizadevati, da bi jih dosegla med pogajanji v imenu EU.</w:t>
      </w:r>
    </w:p>
    <w:p w:rsidRPr="002F5DA1" w:rsidR="00EA1EA1" w:rsidP="00EA1EA1" w:rsidRDefault="00EA1EA1" w14:paraId="12455888" w14:textId="77777777">
      <w:pPr>
        <w:pStyle w:val="ListParagraph"/>
        <w:spacing w:after="240"/>
        <w:ind w:left="360"/>
      </w:pPr>
    </w:p>
    <w:p w:rsidRPr="002F5DA1" w:rsidR="006405EF" w:rsidP="00EA1EA1" w:rsidRDefault="009A3AD5" w14:paraId="09621C65" w14:textId="77777777">
      <w:pPr>
        <w:pStyle w:val="ListParagraph"/>
        <w:numPr>
          <w:ilvl w:val="0"/>
          <w:numId w:val="11"/>
        </w:numPr>
        <w:spacing w:after="200"/>
      </w:pPr>
      <w:r w:rsidRPr="002F5DA1">
        <w:t xml:space="preserve">Priporočilo je bilo sprejeto na podlagi postopka iz člena 218 Pogodbe o delovanju Evropske unije (PDEU) za sporazume, sklenjene med EU in tretjimi državami. Komisija želi s tem priporočilom pridobiti dovoljenje Sveta, da se imenuje za pogajalca v imenu EU in da začne pogajanja z Japonsko, v skladu s pogajalskim mandatom. Ko bodo pogajanja končana, bo moral Evropski parlament ‒ za to, da bi se sporazum lahko sklenil ‒ dati soglasje k besedilu </w:t>
      </w:r>
      <w:proofErr w:type="spellStart"/>
      <w:r w:rsidRPr="002F5DA1">
        <w:t>izpogajanega</w:t>
      </w:r>
      <w:proofErr w:type="spellEnd"/>
      <w:r w:rsidRPr="002F5DA1">
        <w:t xml:space="preserve"> sporazuma, po tem pa bo moral Svet sprejeti sklep o sklenitvi sporazuma.</w:t>
      </w:r>
    </w:p>
    <w:p w:rsidRPr="002F5DA1" w:rsidR="00EA1EA1" w:rsidP="00EA1EA1" w:rsidRDefault="00EA1EA1" w14:paraId="13E81102" w14:textId="77777777">
      <w:pPr>
        <w:pStyle w:val="ListParagraph"/>
        <w:spacing w:after="200"/>
        <w:ind w:left="360"/>
      </w:pPr>
    </w:p>
    <w:p w:rsidRPr="002F5DA1" w:rsidR="002B4019" w:rsidP="002B4019" w:rsidRDefault="002B4019" w14:paraId="2E5EB1F7" w14:textId="5F10BE0D">
      <w:pPr>
        <w:numPr>
          <w:ilvl w:val="0"/>
          <w:numId w:val="11"/>
        </w:numPr>
        <w:spacing w:after="200"/>
      </w:pPr>
      <w:r w:rsidRPr="002F5DA1">
        <w:t>Pravni okvir za obdelavo podatkov iz PNR v EU je Direktiva (EU) 2016/681 Evropskega parlamenta in Sveta o uporabi podatkov iz evidence podatkov o potnikih (PNR) za preprečevanje, odkrivanje, preiskovanje in pregon terorističnih in hudih kaznivih dejanj (v nadaljnjem besedilu: direktiva o PNR), ki je bila sprejeta 27. aprila 2016. Države članice so morale zakone in druge predpise, potrebne za uskladitev z navedeno direktivo, sprejeti najpozneje do 25. maja 2018. Evropska komisija mora prvi pregled direktive o PNR opraviti do 25. maja 2020.</w:t>
      </w:r>
    </w:p>
    <w:p w:rsidRPr="002F5DA1" w:rsidR="002B4019" w:rsidP="002B4019" w:rsidRDefault="002B4019" w14:paraId="3F092345" w14:textId="6A150440">
      <w:pPr>
        <w:numPr>
          <w:ilvl w:val="0"/>
          <w:numId w:val="11"/>
        </w:numPr>
        <w:spacing w:after="200"/>
      </w:pPr>
      <w:r w:rsidRPr="002F5DA1">
        <w:t>Trenutno med EU in tretjimi državami veljata dva mednarodna sporazuma o obdelavi in prenosu podatkov iz PNR, in sicer z Avstralijo</w:t>
      </w:r>
      <w:r w:rsidRPr="002F5DA1">
        <w:rPr>
          <w:vertAlign w:val="superscript"/>
        </w:rPr>
        <w:endnoteReference w:id="1"/>
      </w:r>
      <w:r w:rsidRPr="002F5DA1">
        <w:t xml:space="preserve"> in Združenimi državami Amerike</w:t>
      </w:r>
      <w:r w:rsidRPr="002F5DA1">
        <w:rPr>
          <w:vertAlign w:val="superscript"/>
        </w:rPr>
        <w:endnoteReference w:id="2"/>
      </w:r>
      <w:r w:rsidRPr="002F5DA1">
        <w:t>, oba iz leta 2011. Na zahtevo Evropskega parlamenta, na podlagi člena 218(11) Pogodbe o delovanju Evropske unije, je Sodišče Evropske unije sprejelo Mnenje 1/15 z dne 26. julija 2017</w:t>
      </w:r>
      <w:r w:rsidRPr="002F5DA1">
        <w:rPr>
          <w:vertAlign w:val="superscript"/>
        </w:rPr>
        <w:endnoteReference w:id="3"/>
      </w:r>
      <w:r w:rsidRPr="002F5DA1">
        <w:t xml:space="preserve"> o predvidenem sporazumu med Kanado in EU o prenosu in obdelavi podatkov iz PNR, ki je bil podpisan 25. junija 2014. Sodišče je ugotovilo, da sporazum ni v skladu s členi 7, 8 in 21 ter s členom 52(1) Listine EU o temeljnih pravicah (v nadaljnjem besedilu: Listina), saj ne preprečuje prenosa občutljivih podatkov iz EU v Kanado ter uporabe in hrambe takih podatkov. Poleg tega je Sodišče opredelilo številne pogoje in zaščitne ukrepe za zakonito obdelavo in prenos podatkov iz PNR. Na podlagi Mnenja 1/15 so se junija 2018 s Kanado začela nova pogajanja o PNR, ta pogajanja so po navedbah Komisije v sklepni fazi.</w:t>
      </w:r>
    </w:p>
    <w:p w:rsidRPr="002F5DA1" w:rsidR="002B4019" w:rsidP="002B4019" w:rsidRDefault="002B4019" w14:paraId="3BCB6E76" w14:textId="64566B27">
      <w:pPr>
        <w:numPr>
          <w:ilvl w:val="0"/>
          <w:numId w:val="11"/>
        </w:numPr>
        <w:spacing w:after="200"/>
      </w:pPr>
      <w:r w:rsidRPr="002F5DA1">
        <w:t>Na svetovni ravni vprašanje podatkov iz PNR ureja Konvencija o mednarodnem civilnem letalstvu (v nadaljnjem besedilu: Čikaška konvencija) iz leta 1947, ki ureja mednarodni zračni prevoz in na podlagi katere je bila ustanovljena Mednarodna organizacija civilnega letalstva (ICAO). Svet ICAO je sprejel standarde in priporočene prakse glede PNR, ki so del Priloge 9 („</w:t>
      </w:r>
      <w:proofErr w:type="spellStart"/>
      <w:r w:rsidRPr="002F5DA1">
        <w:t>Facilitation</w:t>
      </w:r>
      <w:proofErr w:type="spellEnd"/>
      <w:r w:rsidRPr="002F5DA1">
        <w:t>“ (Poenostavitve)) k Čikaški konvenciji. Dopolnjujejo jih dodatne smernice, predvsem dokument ICAO 9944, ki opredeljuje smernice o podatkih iz evidenc podatkov o potnikih (PNR)</w:t>
      </w:r>
      <w:r w:rsidRPr="002F5DA1">
        <w:rPr>
          <w:vertAlign w:val="superscript"/>
        </w:rPr>
        <w:endnoteReference w:id="4"/>
      </w:r>
      <w:r w:rsidRPr="002F5DA1">
        <w:t>. Vse države članice EU so pogodbenice Čikaške konvencije.</w:t>
      </w:r>
    </w:p>
    <w:p w:rsidRPr="002F5DA1" w:rsidR="002B4019" w:rsidP="002B4019" w:rsidRDefault="002B4019" w14:paraId="2F2B7C49" w14:textId="6025F76D">
      <w:pPr>
        <w:numPr>
          <w:ilvl w:val="0"/>
          <w:numId w:val="11"/>
        </w:numPr>
        <w:spacing w:after="200"/>
      </w:pPr>
      <w:r w:rsidRPr="002F5DA1">
        <w:t xml:space="preserve">Poleg tega morajo države članice Združenih narodov na podlagi resolucije Varnostnega sveta Združenih narodov 2396 (2017) o grožnjah mednarodnemu miru in varnosti zaradi vračanja tujih terorističnih bojevnikov, ki je bila sprejeta 21. decembra 2017, </w:t>
      </w:r>
      <w:r w:rsidRPr="002F5DA1">
        <w:rPr>
          <w:i/>
        </w:rPr>
        <w:t xml:space="preserve">razviti </w:t>
      </w:r>
      <w:r w:rsidRPr="002F5DA1">
        <w:rPr>
          <w:i/>
        </w:rPr>
        <w:lastRenderedPageBreak/>
        <w:t>zmogljivosti za zbiranje, obdelavo in analizo – z namenom podpore standardom in priporočenim praksam Mednarodne organizacije civilnega letalstva (ICAO) – podatkov iz evidence podatkov o potnikih (PNR) ter zagotoviti, da se podatki iz PNR uporabljajo in delijo z vsemi njihovimi pristojnimi nacionalnimi organi ob polnem spoštovanju človekovih pravic in temeljnih svoboščin</w:t>
      </w:r>
      <w:r w:rsidRPr="002F5DA1">
        <w:t xml:space="preserve"> ter </w:t>
      </w:r>
      <w:r w:rsidRPr="002F5DA1">
        <w:rPr>
          <w:i/>
        </w:rPr>
        <w:t>po potrebi države članice spodbujati, naj podatke iz PNR delijo z ustreznimi ali zadevnimi državami članicami s ciljem zaznavanja tujih terorističnih bojevnikov</w:t>
      </w:r>
      <w:r w:rsidRPr="002F5DA1">
        <w:rPr>
          <w:vertAlign w:val="superscript"/>
        </w:rPr>
        <w:endnoteReference w:id="5"/>
      </w:r>
      <w:r w:rsidRPr="002F5DA1">
        <w:t>.</w:t>
      </w:r>
    </w:p>
    <w:p w:rsidRPr="002F5DA1" w:rsidR="00875FA8" w:rsidP="00A06782" w:rsidRDefault="00875FA8" w14:paraId="138A6904" w14:textId="59B17399">
      <w:pPr>
        <w:numPr>
          <w:ilvl w:val="0"/>
          <w:numId w:val="11"/>
        </w:numPr>
      </w:pPr>
      <w:r w:rsidRPr="002F5DA1">
        <w:t>ENVP pozdravlja, da je bilo z njim po sprejetju priporočila Evropske komisije opravljeno posvetovanje, in pričakuje, da bo v preambuli Sklepa Sveta naveden sklic na to mnenje. To mnenje ne posega v nobene dodatne pripombe, ki bi jih ENVP lahko dal pozneje na podlagi nadaljnjih razpoložljivih informacij.</w:t>
      </w:r>
    </w:p>
    <w:p w:rsidRPr="002F5DA1" w:rsidR="00A06782" w:rsidP="00A06782" w:rsidRDefault="00A06782" w14:paraId="05B42449" w14:textId="652B1DE7">
      <w:pPr>
        <w:spacing w:after="200"/>
        <w:ind w:left="360"/>
      </w:pPr>
    </w:p>
    <w:p w:rsidRPr="002F5DA1" w:rsidR="00E515CF" w:rsidP="00E515CF" w:rsidRDefault="00E515CF" w14:paraId="6FD3076F" w14:textId="3C478248">
      <w:pPr>
        <w:pStyle w:val="Heading1"/>
        <w:keepLines/>
        <w:numPr>
          <w:ilvl w:val="0"/>
          <w:numId w:val="26"/>
        </w:numPr>
        <w:spacing w:after="200"/>
        <w:ind w:hanging="76"/>
        <w:jc w:val="both"/>
        <w:rPr>
          <w:sz w:val="32"/>
          <w:szCs w:val="32"/>
        </w:rPr>
      </w:pPr>
      <w:r w:rsidRPr="002F5DA1">
        <w:rPr>
          <w:sz w:val="32"/>
          <w:szCs w:val="32"/>
        </w:rPr>
        <w:t>SKLEPNE UGOTOVITVE</w:t>
      </w:r>
    </w:p>
    <w:p w:rsidRPr="002F5DA1" w:rsidR="005F637D" w:rsidP="00993934" w:rsidRDefault="00E63C0D" w14:paraId="0082D7B4" w14:textId="5E735E7E">
      <w:pPr>
        <w:pStyle w:val="ListParagraph"/>
        <w:numPr>
          <w:ilvl w:val="0"/>
          <w:numId w:val="24"/>
        </w:numPr>
        <w:spacing w:after="120"/>
      </w:pPr>
      <w:r w:rsidRPr="002F5DA1">
        <w:t>ENVP pozdravlja, da je cilj pogajalskega mandata zagotoviti, da se v celoti upoštevajo temeljne pravice in svoboščine iz členov 7 in 8 Listine EU o temeljnih pravicah ter načeli nujnosti in sorazmernosti, kot ju Sodišče Evropske unije razlaga v svojem Mnenju 1/15 o sporazumu med Kanado in EU o prenosu in obdelavi podatkov iz PNR.</w:t>
      </w:r>
    </w:p>
    <w:p w:rsidRPr="002F5DA1" w:rsidR="009E77F4" w:rsidP="005F637D" w:rsidRDefault="009E77F4" w14:paraId="3699D3B5" w14:textId="07AC94CB">
      <w:pPr>
        <w:pStyle w:val="ListParagraph"/>
        <w:spacing w:after="120"/>
        <w:ind w:left="360"/>
      </w:pPr>
    </w:p>
    <w:p w:rsidRPr="002F5DA1" w:rsidR="005F637D" w:rsidP="00993934" w:rsidRDefault="000E427E" w14:paraId="4138C65E" w14:textId="02D4EBEB">
      <w:pPr>
        <w:pStyle w:val="ListParagraph"/>
        <w:numPr>
          <w:ilvl w:val="0"/>
          <w:numId w:val="24"/>
        </w:numPr>
        <w:spacing w:after="120"/>
      </w:pPr>
      <w:r w:rsidRPr="002F5DA1">
        <w:t>Glede na to, kako bo predvideni sporazum vplival na temeljne pravice zelo velikega števila posameznikov, ki niso vpleteni v kriminalne dejavnosti, ENVP meni, da bi prihodnji sporazum moral vsebovati vse potrebne materialnopravne in postopkovne zaščitne ukrepe, ki bi, če bi bili v celoti upoštevani, zagotovili sorazmernost sistema PNR ter omejili poseganje v pravico do zasebnosti in varstva podatkov le na nujno potrebno in upravičeno glede na splošni interes EU.</w:t>
      </w:r>
    </w:p>
    <w:p w:rsidRPr="002F5DA1" w:rsidR="00EE75CB" w:rsidP="00EE75CB" w:rsidRDefault="00EE75CB" w14:paraId="4D3B5E2E" w14:textId="77777777">
      <w:pPr>
        <w:pStyle w:val="ListParagraph"/>
        <w:spacing w:after="120"/>
        <w:ind w:left="360"/>
      </w:pPr>
    </w:p>
    <w:p w:rsidRPr="002F5DA1" w:rsidR="001D74A9" w:rsidP="00993934" w:rsidRDefault="002647CC" w14:paraId="3A1EDF30" w14:textId="0F0AA6B5">
      <w:pPr>
        <w:pStyle w:val="ListParagraph"/>
        <w:numPr>
          <w:ilvl w:val="0"/>
          <w:numId w:val="24"/>
        </w:numPr>
        <w:spacing w:after="120"/>
      </w:pPr>
      <w:r w:rsidRPr="002F5DA1">
        <w:t>Zato ENVP kot glavno priporočilo poudarja, da je treba uporabiti strog pristop glede nujnosti in sorazmernosti sistema PNR. Ob tem bi bilo treba posebno pozornost nameniti izvajanju načela omejitve namena glede uporabe prenesenih podatkov iz PNR v praksi. Poleg tega ENVP znova navaja svoje stališče iz predhodnih mnenj</w:t>
      </w:r>
      <w:r w:rsidRPr="002F5DA1" w:rsidR="000C2F0E">
        <w:rPr>
          <w:rStyle w:val="EndnoteReference"/>
        </w:rPr>
        <w:endnoteReference w:id="6"/>
      </w:r>
      <w:r w:rsidRPr="002F5DA1">
        <w:t>, da bi se moral Sklep Sveta o odobritvi začetka pogajanj na podlagi člena 218 Pogodbe o delovanju Evropske unije sklicevati ne le na postopkovno pravno podlago, ampak tudi na ustrezno materialnopravno podlago, ki bi morala vključevati tudi člen 16 Pogodbe o delovanju Evropske unije.</w:t>
      </w:r>
    </w:p>
    <w:p w:rsidRPr="002F5DA1" w:rsidR="005F637D" w:rsidP="005F637D" w:rsidRDefault="005F637D" w14:paraId="4D650283" w14:textId="77777777">
      <w:pPr>
        <w:pStyle w:val="ListParagraph"/>
        <w:spacing w:after="120"/>
        <w:ind w:left="360"/>
      </w:pPr>
    </w:p>
    <w:p w:rsidRPr="002F5DA1" w:rsidR="00E63C0D" w:rsidP="00993934" w:rsidRDefault="00C94068" w14:paraId="371E3FC5" w14:textId="2869A23D">
      <w:pPr>
        <w:pStyle w:val="ListParagraph"/>
        <w:numPr>
          <w:ilvl w:val="0"/>
          <w:numId w:val="24"/>
        </w:numPr>
        <w:spacing w:after="120"/>
      </w:pPr>
      <w:r w:rsidRPr="002F5DA1">
        <w:t xml:space="preserve">Dodatna priporočila ENVP v tem mnenju se nanašajo na ustrezni pravni okvir za prenos operativnih osebnih podatkov ter na preprečevanje tveganja posrednega razkritja posebnih vrst podatkov o letalskih potnikih in tveganja ponovne identifikacije posameznikov po </w:t>
      </w:r>
      <w:proofErr w:type="spellStart"/>
      <w:r w:rsidRPr="002F5DA1">
        <w:t>anonimizaciji</w:t>
      </w:r>
      <w:proofErr w:type="spellEnd"/>
      <w:r w:rsidRPr="002F5DA1">
        <w:t xml:space="preserve"> podatkov iz PNR, ki se nanašajo nanje. ENVP poudarja še, da je treba jasno opredeliti neodvisni nadzor, kako pristojni japonski organi obdelujejo podatke iz PNR, kar je eno od poglavitnih jamstev glede pravice do varstva podatkov. Poleg tega ENVP priporoča uvedbo določb, ki bi omogočile, da se prihodnji sporazum prekine, če bi se kršile določbe iz sporazuma, in da njegova veljavnost preneha, če je neskladnost resna in trajna.</w:t>
      </w:r>
    </w:p>
    <w:p w:rsidRPr="002F5DA1" w:rsidR="005F637D" w:rsidP="005F637D" w:rsidRDefault="005F637D" w14:paraId="1E813CCA" w14:textId="77777777">
      <w:pPr>
        <w:pStyle w:val="ListParagraph"/>
        <w:spacing w:after="120"/>
        <w:ind w:left="360"/>
      </w:pPr>
    </w:p>
    <w:p w:rsidRPr="002F5DA1" w:rsidR="00E63C0D" w:rsidP="00993934" w:rsidRDefault="00036309" w14:paraId="5F05CB27" w14:textId="4BEF0729">
      <w:pPr>
        <w:pStyle w:val="ListParagraph"/>
        <w:numPr>
          <w:ilvl w:val="0"/>
          <w:numId w:val="24"/>
        </w:numPr>
        <w:spacing w:after="120"/>
      </w:pPr>
      <w:r w:rsidRPr="002F5DA1">
        <w:t xml:space="preserve">ENVP bo Komisiji, Svetu in Evropskemu parlamentu še naprej na voljo za svetovanje v nadaljnjih fazah tega procesa. Pripombe v tem mnenju ne posegajo v nobene dodatne pripombe, ki bi jih ENVP lahko podal v zvezi z morebitnimi vprašanji, ki bi se pojavila naknadno in bi se nato obravnavala, ko bi bile na voljo dodatne informacije. ENVP zato </w:t>
      </w:r>
      <w:r w:rsidRPr="002F5DA1">
        <w:lastRenderedPageBreak/>
        <w:t>pričakuje, da bo o določbah osnutka sporazuma z njim opravljeno posvetovanje, še preden bo sporazum dokončen.</w:t>
      </w:r>
    </w:p>
    <w:p w:rsidRPr="002F5DA1" w:rsidR="00F92ABA" w:rsidP="000752FA" w:rsidRDefault="00F92ABA" w14:paraId="7C4F72BA" w14:textId="77777777">
      <w:pPr>
        <w:spacing w:after="120"/>
      </w:pPr>
    </w:p>
    <w:p w:rsidRPr="002F5DA1" w:rsidR="00486C67" w:rsidP="000752FA" w:rsidRDefault="00486C67" w14:paraId="0EF1486D" w14:textId="40D74E7B">
      <w:pPr>
        <w:spacing w:after="120"/>
      </w:pPr>
      <w:r w:rsidRPr="002F5DA1">
        <w:t>V Bruslju, 25. oktobra 2019</w:t>
      </w:r>
    </w:p>
    <w:p w:rsidRPr="002F5DA1" w:rsidR="00213E0C" w:rsidP="000752FA" w:rsidRDefault="00213E0C" w14:paraId="79AD5AB7" w14:textId="713345AF">
      <w:pPr>
        <w:spacing w:after="120"/>
        <w:rPr>
          <w:lang w:val="pl-PL"/>
        </w:rPr>
      </w:pPr>
    </w:p>
    <w:p w:rsidRPr="002F5DA1" w:rsidR="00213E0C" w:rsidP="000752FA" w:rsidRDefault="00213E0C" w14:paraId="57054E86" w14:textId="24C312FF">
      <w:pPr>
        <w:spacing w:after="120"/>
        <w:rPr>
          <w:lang w:val="pl-PL"/>
        </w:rPr>
      </w:pPr>
    </w:p>
    <w:p w:rsidRPr="002F5DA1" w:rsidR="00213E0C" w:rsidP="000752FA" w:rsidRDefault="00213E0C" w14:paraId="6ABC9993" w14:textId="4E695C25">
      <w:pPr>
        <w:spacing w:after="120"/>
        <w:rPr>
          <w:lang w:val="pl-PL"/>
        </w:rPr>
      </w:pPr>
    </w:p>
    <w:p w:rsidRPr="002F5DA1" w:rsidR="00213E0C" w:rsidP="000752FA" w:rsidRDefault="00213E0C" w14:paraId="3B00E25D" w14:textId="77777777">
      <w:pPr>
        <w:spacing w:after="120"/>
        <w:rPr>
          <w:lang w:val="pl-PL"/>
        </w:rPr>
      </w:pPr>
    </w:p>
    <w:bookmarkEnd w:id="0"/>
    <w:p w:rsidRPr="002F5DA1" w:rsidR="00F92ABA" w:rsidRDefault="00EA1EA1" w14:paraId="59744501" w14:textId="77777777">
      <w:pPr>
        <w:jc w:val="left"/>
        <w:rPr>
          <w:rFonts w:eastAsia="Adobe Gothic Std B"/>
          <w:b/>
          <w:bCs/>
          <w:color w:val="005DA4"/>
          <w:kern w:val="32"/>
          <w:sz w:val="32"/>
          <w:szCs w:val="32"/>
        </w:rPr>
      </w:pPr>
      <w:proofErr w:type="spellStart"/>
      <w:r w:rsidRPr="002F5DA1">
        <w:t>Wojciech</w:t>
      </w:r>
      <w:proofErr w:type="spellEnd"/>
      <w:r w:rsidRPr="002F5DA1">
        <w:t xml:space="preserve"> </w:t>
      </w:r>
      <w:proofErr w:type="spellStart"/>
      <w:r w:rsidRPr="002F5DA1">
        <w:t>Rafał</w:t>
      </w:r>
      <w:proofErr w:type="spellEnd"/>
      <w:r w:rsidRPr="002F5DA1">
        <w:t xml:space="preserve"> WIEWIÓROWSKI </w:t>
      </w:r>
      <w:r w:rsidRPr="002F5DA1">
        <w:br w:type="page"/>
      </w:r>
    </w:p>
    <w:p w:rsidRPr="002F5DA1" w:rsidR="00F92ABA" w:rsidP="00F92ABA" w:rsidRDefault="00F92ABA" w14:paraId="5C88152C" w14:textId="77777777">
      <w:pPr>
        <w:pStyle w:val="Heading1"/>
        <w:numPr>
          <w:ilvl w:val="0"/>
          <w:numId w:val="0"/>
        </w:numPr>
        <w:rPr>
          <w:sz w:val="32"/>
          <w:szCs w:val="32"/>
        </w:rPr>
      </w:pPr>
      <w:bookmarkStart w:name="_Toc435701394" w:id="3"/>
      <w:bookmarkStart w:name="_Toc22124204" w:id="4"/>
      <w:r w:rsidRPr="002F5DA1">
        <w:rPr>
          <w:sz w:val="32"/>
          <w:szCs w:val="32"/>
        </w:rPr>
        <w:lastRenderedPageBreak/>
        <w:t>Opombe</w:t>
      </w:r>
      <w:bookmarkEnd w:id="3"/>
      <w:bookmarkEnd w:id="4"/>
    </w:p>
    <w:sectPr w:rsidRPr="002F5DA1" w:rsidR="00F92ABA" w:rsidSect="00D065E1">
      <w:headerReference w:type="even" r:id="rId11"/>
      <w:headerReference w:type="default" r:id="rId12"/>
      <w:footerReference w:type="even" r:id="rId13"/>
      <w:footerReference w:type="default" r:id="rId14"/>
      <w:headerReference w:type="first" r:id="rId15"/>
      <w:footerReference w:type="first" r:id="rId16"/>
      <w:endnotePr>
        <w:numFmt w:val="decimal"/>
      </w:endnotePr>
      <w:pgSz w:w="11906" w:h="16838" w:code="9"/>
      <w:pgMar w:top="1440" w:right="1440" w:bottom="1560" w:left="1440" w:header="709" w:footer="93"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CFC105" w14:textId="77777777" w:rsidR="00940363" w:rsidRDefault="00940363" w:rsidP="00EE2109">
      <w:r>
        <w:separator/>
      </w:r>
    </w:p>
  </w:endnote>
  <w:endnote w:type="continuationSeparator" w:id="0">
    <w:p w14:paraId="344DE6D9" w14:textId="77777777" w:rsidR="00940363" w:rsidRDefault="00940363" w:rsidP="00EE2109">
      <w:r>
        <w:continuationSeparator/>
      </w:r>
    </w:p>
  </w:endnote>
  <w:endnote w:id="1">
    <w:p w14:paraId="2023D359" w14:textId="77777777" w:rsidR="002B4019" w:rsidRPr="002F5DA1" w:rsidRDefault="002B4019" w:rsidP="00617099">
      <w:pPr>
        <w:pStyle w:val="Style1"/>
      </w:pPr>
      <w:r w:rsidRPr="002F5DA1">
        <w:rPr>
          <w:rStyle w:val="EndnoteReference"/>
        </w:rPr>
        <w:endnoteRef/>
      </w:r>
      <w:r w:rsidRPr="002F5DA1">
        <w:t xml:space="preserve"> UL L 186, 14.7.2012, str. 4–16.</w:t>
      </w:r>
    </w:p>
  </w:endnote>
  <w:endnote w:id="2">
    <w:p w14:paraId="196FCF4E" w14:textId="77777777" w:rsidR="002B4019" w:rsidRPr="002F5DA1" w:rsidRDefault="002B4019" w:rsidP="00617099">
      <w:pPr>
        <w:pStyle w:val="Style1"/>
      </w:pPr>
      <w:r w:rsidRPr="002F5DA1">
        <w:rPr>
          <w:rStyle w:val="EndnoteReference"/>
        </w:rPr>
        <w:endnoteRef/>
      </w:r>
      <w:r w:rsidRPr="002F5DA1">
        <w:t xml:space="preserve"> </w:t>
      </w:r>
      <w:r w:rsidRPr="002F5DA1">
        <w:t>UL L 215, 11.8.2012, str. 5–14.</w:t>
      </w:r>
    </w:p>
  </w:endnote>
  <w:endnote w:id="3">
    <w:p w14:paraId="7170B23C" w14:textId="497E06AD" w:rsidR="002B4019" w:rsidRPr="002F5DA1" w:rsidRDefault="002B4019" w:rsidP="00617099">
      <w:pPr>
        <w:pStyle w:val="Style1"/>
      </w:pPr>
      <w:r w:rsidRPr="002F5DA1">
        <w:rPr>
          <w:rStyle w:val="EndnoteReference"/>
        </w:rPr>
        <w:endnoteRef/>
      </w:r>
      <w:r w:rsidRPr="002F5DA1">
        <w:t xml:space="preserve"> </w:t>
      </w:r>
      <w:r w:rsidRPr="002F5DA1">
        <w:t>Mnenje Sodišča  1/15 z dne 26. julija 2017 na podlagi člena 218(11) Pogodbe o delovanju Evropske unije o osnutku sporazuma med Kanado in EU o prenosu in obdelavi podatkov iz PNR, ECLI:EU:C:2017:592.</w:t>
      </w:r>
    </w:p>
  </w:endnote>
  <w:endnote w:id="4">
    <w:p w14:paraId="0B728BE8" w14:textId="77777777" w:rsidR="002B4019" w:rsidRPr="002F5DA1" w:rsidRDefault="002B4019" w:rsidP="00617099">
      <w:pPr>
        <w:pStyle w:val="Style1"/>
      </w:pPr>
      <w:r w:rsidRPr="002F5DA1">
        <w:rPr>
          <w:rStyle w:val="EndnoteReference"/>
        </w:rPr>
        <w:endnoteRef/>
      </w:r>
      <w:r w:rsidRPr="002F5DA1">
        <w:t xml:space="preserve">Dokument ICAO 9944, </w:t>
      </w:r>
      <w:proofErr w:type="spellStart"/>
      <w:r w:rsidRPr="002F5DA1">
        <w:t>Guidelines</w:t>
      </w:r>
      <w:proofErr w:type="spellEnd"/>
      <w:r w:rsidRPr="002F5DA1">
        <w:t xml:space="preserve"> on </w:t>
      </w:r>
      <w:proofErr w:type="spellStart"/>
      <w:r w:rsidRPr="002F5DA1">
        <w:t>Passenger</w:t>
      </w:r>
      <w:proofErr w:type="spellEnd"/>
      <w:r w:rsidRPr="002F5DA1">
        <w:t xml:space="preserve"> Name </w:t>
      </w:r>
      <w:proofErr w:type="spellStart"/>
      <w:r w:rsidRPr="002F5DA1">
        <w:t>Record</w:t>
      </w:r>
      <w:proofErr w:type="spellEnd"/>
      <w:r w:rsidRPr="002F5DA1">
        <w:t xml:space="preserve"> (PNR) Data (Smernice o podatkih iz evidenc podatkov o potnikih (PNR)), prva izdaja, 2010.</w:t>
      </w:r>
    </w:p>
  </w:endnote>
  <w:endnote w:id="5">
    <w:p w14:paraId="446DEA2B" w14:textId="77777777" w:rsidR="002B4019" w:rsidRPr="002F5DA1" w:rsidRDefault="002B4019" w:rsidP="00617099">
      <w:pPr>
        <w:pStyle w:val="Style1"/>
      </w:pPr>
      <w:r w:rsidRPr="002F5DA1">
        <w:rPr>
          <w:rStyle w:val="EndnoteReference"/>
        </w:rPr>
        <w:endnoteRef/>
      </w:r>
      <w:r w:rsidRPr="002F5DA1">
        <w:t xml:space="preserve"> </w:t>
      </w:r>
      <w:r w:rsidRPr="002F5DA1">
        <w:t>Točka 12 Resolucije Varnostnega sveta 2396 (2017) o grožnjah mednarodnemu miru in varnosti zaradi vračanja tujih terorističnih bojevnikov, ki jo je Varnostni svet sprejel 21. decembra 2017 na svojem 8148. zasedanju.</w:t>
      </w:r>
    </w:p>
  </w:endnote>
  <w:endnote w:id="6">
    <w:p w14:paraId="34AF0F9E" w14:textId="2CABBBAA" w:rsidR="000C2F0E" w:rsidRPr="002F5DA1" w:rsidRDefault="000C2F0E" w:rsidP="00617099">
      <w:pPr>
        <w:pStyle w:val="Style1"/>
      </w:pPr>
      <w:r w:rsidRPr="002F5DA1">
        <w:rPr>
          <w:rStyle w:val="EndnoteReference"/>
        </w:rPr>
        <w:endnoteRef/>
      </w:r>
      <w:r w:rsidRPr="002F5DA1">
        <w:t xml:space="preserve"> </w:t>
      </w:r>
      <w:r w:rsidRPr="002F5DA1">
        <w:t>Glej Mnenje ENVP 2/2019 o pogajalskem man</w:t>
      </w:r>
      <w:bookmarkStart w:id="2" w:name="_GoBack"/>
      <w:bookmarkEnd w:id="2"/>
      <w:r w:rsidRPr="002F5DA1">
        <w:t xml:space="preserve">datu za sporazum med EU in ZDA o čezmejnem dostopu do elektronskih dokazov ter Mnenje ENVP 3/2019 glede sodelovanja v pogajanjih glede Drugega dodatnega protokola h Konvenciji o kibernetski kriminaliteti iz Budimpešte, ki sta na voljo na: </w:t>
      </w:r>
      <w:hyperlink r:id="rId1" w:history="1">
        <w:r w:rsidRPr="002F5DA1">
          <w:rPr>
            <w:rStyle w:val="Hyperlink"/>
          </w:rPr>
          <w:t>https://edps.europa.eu/sites/edp/files/publication/19-06-07_opinion_eevidence_summary_sl.pdf</w:t>
        </w:r>
      </w:hyperlink>
      <w:r w:rsidRPr="002F5DA1">
        <w:t xml:space="preserve"> in</w:t>
      </w:r>
    </w:p>
    <w:p w14:paraId="3AF6EE40" w14:textId="6C21E2F5" w:rsidR="000C2F0E" w:rsidRPr="002F5DA1" w:rsidRDefault="00940363" w:rsidP="009600CE">
      <w:pPr>
        <w:pStyle w:val="EndnoteText"/>
        <w:jc w:val="both"/>
        <w:rPr>
          <w:rFonts w:ascii="Times New Roman" w:hAnsi="Times New Roman"/>
        </w:rPr>
      </w:pPr>
      <w:hyperlink r:id="rId2" w:history="1">
        <w:r w:rsidR="00B11FC2" w:rsidRPr="002F5DA1">
          <w:rPr>
            <w:rStyle w:val="Hyperlink"/>
            <w:rFonts w:ascii="Times New Roman" w:hAnsi="Times New Roman"/>
          </w:rPr>
          <w:t>https://edps.europa.eu/sites/edp/files/publication/19-06-07_opinion_budapest_summary_sl.pdf</w:t>
        </w:r>
      </w:hyperlink>
      <w:r w:rsidR="00B11FC2" w:rsidRPr="002F5DA1">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Gothic Std B">
    <w:panose1 w:val="00000000000000000000"/>
    <w:charset w:val="80"/>
    <w:family w:val="swiss"/>
    <w:notTrueType/>
    <w:pitch w:val="variable"/>
    <w:sig w:usb0="00000203" w:usb1="29D72C10" w:usb2="00000010" w:usb3="00000000" w:csb0="002A0005"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2F5DA1" w:rsidRDefault="002F5DA1" w14:paraId="32E136F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621B53" w:rsidP="00D065E1" w:rsidRDefault="00621B53" w14:paraId="703AAF17" w14:textId="2137951D">
    <w:pPr>
      <w:pStyle w:val="Footer"/>
      <w:pBdr>
        <w:top w:val="single" w:color="D9D9D9" w:themeColor="background1" w:themeShade="D9" w:sz="4" w:space="1"/>
      </w:pBdr>
      <w:jc w:val="right"/>
      <w:rPr>
        <w:color w:val="808080" w:themeColor="background1" w:themeShade="80"/>
        <w:spacing w:val="60"/>
      </w:rPr>
    </w:pPr>
  </w:p>
  <w:p w:rsidRPr="002F5DA1" w:rsidR="00621B53" w:rsidRDefault="00621B53" w14:paraId="165BF6E0" w14:textId="77777777">
    <w:pPr>
      <w:pStyle w:val="Footer"/>
    </w:pPr>
  </w:p>
  <w:p w:rsidRPr="002F5DA1" w:rsidR="00621B53" w:rsidRDefault="00621B53" w14:paraId="611AAA0B"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621B53" w:rsidP="00076A31" w:rsidRDefault="00621B53" w14:paraId="5B07118A" w14:textId="0951BA98">
    <w:pPr>
      <w:pStyle w:val="Footer"/>
      <w:pBdr>
        <w:top w:val="single" w:color="D9D9D9" w:themeColor="background1" w:themeShade="D9" w:sz="4" w:space="1"/>
      </w:pBdr>
      <w:jc w:val="right"/>
    </w:pPr>
  </w:p>
  <w:p w:rsidRPr="002F5DA1" w:rsidR="00621B53" w:rsidRDefault="00621B53" w14:paraId="3938CD53"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61ED5" w14:textId="77777777" w:rsidR="00940363" w:rsidRDefault="00940363" w:rsidP="00EE2109">
      <w:r>
        <w:separator/>
      </w:r>
    </w:p>
  </w:footnote>
  <w:footnote w:type="continuationSeparator" w:id="0">
    <w:p w14:paraId="1C8ECB22" w14:textId="77777777" w:rsidR="00940363" w:rsidRDefault="00940363" w:rsidP="00EE21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2F5DA1" w:rsidRDefault="002F5DA1" w14:paraId="3F6A351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2F5DA1" w:rsidRDefault="002F5DA1" w14:paraId="718E5856"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2F5DA1" w:rsidR="002F5DA1" w:rsidRDefault="002F5DA1" w14:paraId="3B72FD5F"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21023"/>
    <w:multiLevelType w:val="hybridMultilevel"/>
    <w:tmpl w:val="6922B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7678C"/>
    <w:multiLevelType w:val="hybridMultilevel"/>
    <w:tmpl w:val="5F1AC7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7057DC6"/>
    <w:multiLevelType w:val="hybridMultilevel"/>
    <w:tmpl w:val="D31437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F14BA7"/>
    <w:multiLevelType w:val="hybridMultilevel"/>
    <w:tmpl w:val="0D9C75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F03E86"/>
    <w:multiLevelType w:val="hybridMultilevel"/>
    <w:tmpl w:val="7730076E"/>
    <w:lvl w:ilvl="0" w:tplc="69901E14">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1D475B"/>
    <w:multiLevelType w:val="multilevel"/>
    <w:tmpl w:val="77E28552"/>
    <w:lvl w:ilvl="0">
      <w:start w:val="1"/>
      <w:numFmt w:val="upperRoman"/>
      <w:pStyle w:val="Heading1"/>
      <w:lvlText w:val="%1."/>
      <w:lvlJc w:val="righ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B275B65"/>
    <w:multiLevelType w:val="hybridMultilevel"/>
    <w:tmpl w:val="DCF0A260"/>
    <w:lvl w:ilvl="0" w:tplc="D4C07C6C">
      <w:start w:val="1"/>
      <w:numFmt w:val="bullet"/>
      <w:lvlText w:val=""/>
      <w:lvlJc w:val="left"/>
      <w:pPr>
        <w:ind w:left="72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B9D0C23"/>
    <w:multiLevelType w:val="hybridMultilevel"/>
    <w:tmpl w:val="9FB0916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9341A1"/>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9" w15:restartNumberingAfterBreak="0">
    <w:nsid w:val="253F116B"/>
    <w:multiLevelType w:val="hybridMultilevel"/>
    <w:tmpl w:val="3118F048"/>
    <w:lvl w:ilvl="0" w:tplc="04DA5B04">
      <w:numFmt w:val="bullet"/>
      <w:lvlText w:val="-"/>
      <w:lvlJc w:val="left"/>
      <w:pPr>
        <w:ind w:left="360" w:hanging="360"/>
      </w:pPr>
      <w:rPr>
        <w:rFonts w:ascii="Times New Roman" w:eastAsia="Calibri"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B8120D3"/>
    <w:multiLevelType w:val="hybridMultilevel"/>
    <w:tmpl w:val="FA1217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F718A5"/>
    <w:multiLevelType w:val="hybridMultilevel"/>
    <w:tmpl w:val="592C54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7F31C58"/>
    <w:multiLevelType w:val="hybridMultilevel"/>
    <w:tmpl w:val="386A81F8"/>
    <w:lvl w:ilvl="0" w:tplc="3F842DE8">
      <w:start w:val="34"/>
      <w:numFmt w:val="decimal"/>
      <w:lvlText w:val="%1."/>
      <w:lvlJc w:val="left"/>
      <w:pPr>
        <w:ind w:left="36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373CD6"/>
    <w:multiLevelType w:val="multilevel"/>
    <w:tmpl w:val="B594979E"/>
    <w:lvl w:ilvl="0">
      <w:start w:val="1"/>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4" w15:restartNumberingAfterBreak="0">
    <w:nsid w:val="48801F24"/>
    <w:multiLevelType w:val="multilevel"/>
    <w:tmpl w:val="E58E186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5" w15:restartNumberingAfterBreak="0">
    <w:nsid w:val="497302CE"/>
    <w:multiLevelType w:val="multilevel"/>
    <w:tmpl w:val="6B923CCE"/>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15:restartNumberingAfterBreak="0">
    <w:nsid w:val="4FDE3765"/>
    <w:multiLevelType w:val="hybridMultilevel"/>
    <w:tmpl w:val="B9740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4E4EB4"/>
    <w:multiLevelType w:val="hybridMultilevel"/>
    <w:tmpl w:val="4E78AF06"/>
    <w:lvl w:ilvl="0" w:tplc="E5BE34B0">
      <w:start w:val="1"/>
      <w:numFmt w:val="decimal"/>
      <w:lvlText w:val="%1."/>
      <w:lvlJc w:val="left"/>
      <w:pPr>
        <w:tabs>
          <w:tab w:val="num" w:pos="360"/>
        </w:tabs>
        <w:ind w:left="360" w:hanging="360"/>
      </w:pPr>
      <w:rPr>
        <w:i w:val="0"/>
        <w:sz w:val="24"/>
        <w:lang w:val="en-GB"/>
      </w:rPr>
    </w:lvl>
    <w:lvl w:ilvl="1" w:tplc="08090001">
      <w:start w:val="1"/>
      <w:numFmt w:val="bullet"/>
      <w:lvlText w:val=""/>
      <w:lvlJc w:val="left"/>
      <w:pPr>
        <w:tabs>
          <w:tab w:val="num" w:pos="1418"/>
        </w:tabs>
        <w:ind w:left="1418" w:hanging="360"/>
      </w:pPr>
      <w:rPr>
        <w:rFonts w:ascii="Symbol" w:hAnsi="Symbol" w:hint="default"/>
        <w:b w:val="0"/>
        <w:i w:val="0"/>
        <w:vertAlign w:val="baseline"/>
      </w:rPr>
    </w:lvl>
    <w:lvl w:ilvl="2" w:tplc="67743F40">
      <w:start w:val="1"/>
      <w:numFmt w:val="lowerLetter"/>
      <w:lvlText w:val="(%3)"/>
      <w:lvlJc w:val="left"/>
      <w:pPr>
        <w:ind w:left="2318" w:hanging="360"/>
      </w:pPr>
      <w:rPr>
        <w:rFonts w:hint="default"/>
      </w:rPr>
    </w:lvl>
    <w:lvl w:ilvl="3" w:tplc="0809000F">
      <w:start w:val="1"/>
      <w:numFmt w:val="decimal"/>
      <w:lvlText w:val="%4."/>
      <w:lvlJc w:val="left"/>
      <w:pPr>
        <w:tabs>
          <w:tab w:val="num" w:pos="2858"/>
        </w:tabs>
        <w:ind w:left="2858" w:hanging="360"/>
      </w:pPr>
      <w:rPr>
        <w:b w:val="0"/>
        <w:i w:val="0"/>
        <w:vertAlign w:val="baseline"/>
      </w:rPr>
    </w:lvl>
    <w:lvl w:ilvl="4" w:tplc="08090019" w:tentative="1">
      <w:start w:val="1"/>
      <w:numFmt w:val="lowerLetter"/>
      <w:lvlText w:val="%5."/>
      <w:lvlJc w:val="left"/>
      <w:pPr>
        <w:tabs>
          <w:tab w:val="num" w:pos="3578"/>
        </w:tabs>
        <w:ind w:left="3578" w:hanging="360"/>
      </w:pPr>
    </w:lvl>
    <w:lvl w:ilvl="5" w:tplc="0809001B" w:tentative="1">
      <w:start w:val="1"/>
      <w:numFmt w:val="lowerRoman"/>
      <w:lvlText w:val="%6."/>
      <w:lvlJc w:val="right"/>
      <w:pPr>
        <w:tabs>
          <w:tab w:val="num" w:pos="4298"/>
        </w:tabs>
        <w:ind w:left="4298" w:hanging="180"/>
      </w:pPr>
    </w:lvl>
    <w:lvl w:ilvl="6" w:tplc="0809000F" w:tentative="1">
      <w:start w:val="1"/>
      <w:numFmt w:val="decimal"/>
      <w:lvlText w:val="%7."/>
      <w:lvlJc w:val="left"/>
      <w:pPr>
        <w:tabs>
          <w:tab w:val="num" w:pos="5018"/>
        </w:tabs>
        <w:ind w:left="5018" w:hanging="360"/>
      </w:pPr>
    </w:lvl>
    <w:lvl w:ilvl="7" w:tplc="08090019" w:tentative="1">
      <w:start w:val="1"/>
      <w:numFmt w:val="lowerLetter"/>
      <w:lvlText w:val="%8."/>
      <w:lvlJc w:val="left"/>
      <w:pPr>
        <w:tabs>
          <w:tab w:val="num" w:pos="5738"/>
        </w:tabs>
        <w:ind w:left="5738" w:hanging="360"/>
      </w:pPr>
    </w:lvl>
    <w:lvl w:ilvl="8" w:tplc="0809001B" w:tentative="1">
      <w:start w:val="1"/>
      <w:numFmt w:val="lowerRoman"/>
      <w:lvlText w:val="%9."/>
      <w:lvlJc w:val="right"/>
      <w:pPr>
        <w:tabs>
          <w:tab w:val="num" w:pos="6458"/>
        </w:tabs>
        <w:ind w:left="6458" w:hanging="180"/>
      </w:pPr>
    </w:lvl>
  </w:abstractNum>
  <w:abstractNum w:abstractNumId="18" w15:restartNumberingAfterBreak="0">
    <w:nsid w:val="5A7A33BB"/>
    <w:multiLevelType w:val="hybridMultilevel"/>
    <w:tmpl w:val="8E40BBA8"/>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abstractNum w:abstractNumId="19" w15:restartNumberingAfterBreak="0">
    <w:nsid w:val="655D5A3A"/>
    <w:multiLevelType w:val="hybridMultilevel"/>
    <w:tmpl w:val="569AC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92923DF"/>
    <w:multiLevelType w:val="hybridMultilevel"/>
    <w:tmpl w:val="B53C6F9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DDA1E10"/>
    <w:multiLevelType w:val="hybridMultilevel"/>
    <w:tmpl w:val="870AED6E"/>
    <w:lvl w:ilvl="0" w:tplc="5822818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207784"/>
    <w:multiLevelType w:val="multilevel"/>
    <w:tmpl w:val="373A0644"/>
    <w:lvl w:ilvl="0">
      <w:start w:val="5"/>
      <w:numFmt w:val="decimal"/>
      <w:lvlText w:val="%1."/>
      <w:lvlJc w:val="left"/>
      <w:pPr>
        <w:ind w:left="36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23" w15:restartNumberingAfterBreak="0">
    <w:nsid w:val="72074AA4"/>
    <w:multiLevelType w:val="hybridMultilevel"/>
    <w:tmpl w:val="6A327C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D353848"/>
    <w:multiLevelType w:val="hybridMultilevel"/>
    <w:tmpl w:val="A1826D14"/>
    <w:lvl w:ilvl="0" w:tplc="0809000F">
      <w:start w:val="1"/>
      <w:numFmt w:val="decimal"/>
      <w:lvlText w:val="%1."/>
      <w:lvlJc w:val="left"/>
      <w:pPr>
        <w:ind w:left="709" w:hanging="360"/>
      </w:pPr>
    </w:lvl>
    <w:lvl w:ilvl="1" w:tplc="08090019" w:tentative="1">
      <w:start w:val="1"/>
      <w:numFmt w:val="lowerLetter"/>
      <w:lvlText w:val="%2."/>
      <w:lvlJc w:val="left"/>
      <w:pPr>
        <w:ind w:left="1429" w:hanging="360"/>
      </w:pPr>
    </w:lvl>
    <w:lvl w:ilvl="2" w:tplc="0809001B" w:tentative="1">
      <w:start w:val="1"/>
      <w:numFmt w:val="lowerRoman"/>
      <w:lvlText w:val="%3."/>
      <w:lvlJc w:val="right"/>
      <w:pPr>
        <w:ind w:left="2149" w:hanging="180"/>
      </w:pPr>
    </w:lvl>
    <w:lvl w:ilvl="3" w:tplc="0809000F" w:tentative="1">
      <w:start w:val="1"/>
      <w:numFmt w:val="decimal"/>
      <w:lvlText w:val="%4."/>
      <w:lvlJc w:val="left"/>
      <w:pPr>
        <w:ind w:left="2869" w:hanging="360"/>
      </w:pPr>
    </w:lvl>
    <w:lvl w:ilvl="4" w:tplc="08090019" w:tentative="1">
      <w:start w:val="1"/>
      <w:numFmt w:val="lowerLetter"/>
      <w:lvlText w:val="%5."/>
      <w:lvlJc w:val="left"/>
      <w:pPr>
        <w:ind w:left="3589" w:hanging="360"/>
      </w:pPr>
    </w:lvl>
    <w:lvl w:ilvl="5" w:tplc="0809001B" w:tentative="1">
      <w:start w:val="1"/>
      <w:numFmt w:val="lowerRoman"/>
      <w:lvlText w:val="%6."/>
      <w:lvlJc w:val="right"/>
      <w:pPr>
        <w:ind w:left="4309" w:hanging="180"/>
      </w:pPr>
    </w:lvl>
    <w:lvl w:ilvl="6" w:tplc="0809000F" w:tentative="1">
      <w:start w:val="1"/>
      <w:numFmt w:val="decimal"/>
      <w:lvlText w:val="%7."/>
      <w:lvlJc w:val="left"/>
      <w:pPr>
        <w:ind w:left="5029" w:hanging="360"/>
      </w:pPr>
    </w:lvl>
    <w:lvl w:ilvl="7" w:tplc="08090019" w:tentative="1">
      <w:start w:val="1"/>
      <w:numFmt w:val="lowerLetter"/>
      <w:lvlText w:val="%8."/>
      <w:lvlJc w:val="left"/>
      <w:pPr>
        <w:ind w:left="5749" w:hanging="360"/>
      </w:pPr>
    </w:lvl>
    <w:lvl w:ilvl="8" w:tplc="0809001B" w:tentative="1">
      <w:start w:val="1"/>
      <w:numFmt w:val="lowerRoman"/>
      <w:lvlText w:val="%9."/>
      <w:lvlJc w:val="right"/>
      <w:pPr>
        <w:ind w:left="6469" w:hanging="180"/>
      </w:pPr>
    </w:lvl>
  </w:abstractNum>
  <w:num w:numId="1">
    <w:abstractNumId w:val="5"/>
  </w:num>
  <w:num w:numId="2">
    <w:abstractNumId w:val="8"/>
  </w:num>
  <w:num w:numId="3">
    <w:abstractNumId w:val="15"/>
  </w:num>
  <w:num w:numId="4">
    <w:abstractNumId w:val="21"/>
  </w:num>
  <w:num w:numId="5">
    <w:abstractNumId w:val="14"/>
  </w:num>
  <w:num w:numId="6">
    <w:abstractNumId w:val="16"/>
  </w:num>
  <w:num w:numId="7">
    <w:abstractNumId w:val="19"/>
  </w:num>
  <w:num w:numId="8">
    <w:abstractNumId w:val="6"/>
  </w:num>
  <w:num w:numId="9">
    <w:abstractNumId w:val="17"/>
  </w:num>
  <w:num w:numId="10">
    <w:abstractNumId w:val="3"/>
  </w:num>
  <w:num w:numId="11">
    <w:abstractNumId w:val="4"/>
  </w:num>
  <w:num w:numId="12">
    <w:abstractNumId w:val="18"/>
  </w:num>
  <w:num w:numId="13">
    <w:abstractNumId w:val="24"/>
  </w:num>
  <w:num w:numId="14">
    <w:abstractNumId w:val="10"/>
  </w:num>
  <w:num w:numId="15">
    <w:abstractNumId w:val="7"/>
  </w:num>
  <w:num w:numId="16">
    <w:abstractNumId w:val="23"/>
  </w:num>
  <w:num w:numId="17">
    <w:abstractNumId w:val="20"/>
  </w:num>
  <w:num w:numId="18">
    <w:abstractNumId w:val="2"/>
  </w:num>
  <w:num w:numId="19">
    <w:abstractNumId w:val="11"/>
  </w:num>
  <w:num w:numId="20">
    <w:abstractNumId w:val="1"/>
  </w:num>
  <w:num w:numId="21">
    <w:abstractNumId w:val="0"/>
  </w:num>
  <w:num w:numId="22">
    <w:abstractNumId w:val="9"/>
  </w:num>
  <w:num w:numId="23">
    <w:abstractNumId w:val="5"/>
  </w:num>
  <w:num w:numId="24">
    <w:abstractNumId w:val="12"/>
  </w:num>
  <w:num w:numId="25">
    <w:abstractNumId w:val="13"/>
  </w:num>
  <w:num w:numId="26">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it-IT"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proofState w:spelling="clean" w:grammar="clean"/>
  <w:defaultTabStop w:val="720"/>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109"/>
    <w:rsid w:val="00001F64"/>
    <w:rsid w:val="00006D28"/>
    <w:rsid w:val="00007024"/>
    <w:rsid w:val="00011CD6"/>
    <w:rsid w:val="00014506"/>
    <w:rsid w:val="000154A5"/>
    <w:rsid w:val="00016ACA"/>
    <w:rsid w:val="00017B0C"/>
    <w:rsid w:val="000229E9"/>
    <w:rsid w:val="00032414"/>
    <w:rsid w:val="00033562"/>
    <w:rsid w:val="00034993"/>
    <w:rsid w:val="0003564C"/>
    <w:rsid w:val="00036309"/>
    <w:rsid w:val="00036BB1"/>
    <w:rsid w:val="00040497"/>
    <w:rsid w:val="00040910"/>
    <w:rsid w:val="00041759"/>
    <w:rsid w:val="000505CB"/>
    <w:rsid w:val="000511C3"/>
    <w:rsid w:val="00051C38"/>
    <w:rsid w:val="000529F8"/>
    <w:rsid w:val="00057664"/>
    <w:rsid w:val="00063045"/>
    <w:rsid w:val="00065A7A"/>
    <w:rsid w:val="00067D0E"/>
    <w:rsid w:val="00074161"/>
    <w:rsid w:val="000752FA"/>
    <w:rsid w:val="000760C6"/>
    <w:rsid w:val="00076A31"/>
    <w:rsid w:val="000805A4"/>
    <w:rsid w:val="000806DF"/>
    <w:rsid w:val="000957ED"/>
    <w:rsid w:val="000966DD"/>
    <w:rsid w:val="000A165C"/>
    <w:rsid w:val="000A1C01"/>
    <w:rsid w:val="000A5BC9"/>
    <w:rsid w:val="000A5E02"/>
    <w:rsid w:val="000A6610"/>
    <w:rsid w:val="000B01C4"/>
    <w:rsid w:val="000B02B4"/>
    <w:rsid w:val="000B23D3"/>
    <w:rsid w:val="000B32B8"/>
    <w:rsid w:val="000B7EC8"/>
    <w:rsid w:val="000C0FCA"/>
    <w:rsid w:val="000C2F0E"/>
    <w:rsid w:val="000C6282"/>
    <w:rsid w:val="000D0219"/>
    <w:rsid w:val="000D22B6"/>
    <w:rsid w:val="000E23D7"/>
    <w:rsid w:val="000E3CED"/>
    <w:rsid w:val="000E427E"/>
    <w:rsid w:val="000E48E9"/>
    <w:rsid w:val="000F00CE"/>
    <w:rsid w:val="000F1F34"/>
    <w:rsid w:val="000F2C34"/>
    <w:rsid w:val="000F33CF"/>
    <w:rsid w:val="000F4438"/>
    <w:rsid w:val="000F548B"/>
    <w:rsid w:val="000F70EB"/>
    <w:rsid w:val="00100578"/>
    <w:rsid w:val="001024A2"/>
    <w:rsid w:val="0010469A"/>
    <w:rsid w:val="00105B54"/>
    <w:rsid w:val="00106ED4"/>
    <w:rsid w:val="001073ED"/>
    <w:rsid w:val="0010766F"/>
    <w:rsid w:val="00107A0A"/>
    <w:rsid w:val="00111EE6"/>
    <w:rsid w:val="00121625"/>
    <w:rsid w:val="001223EB"/>
    <w:rsid w:val="00126176"/>
    <w:rsid w:val="0012671F"/>
    <w:rsid w:val="00131601"/>
    <w:rsid w:val="001328D0"/>
    <w:rsid w:val="001354BE"/>
    <w:rsid w:val="00136B7F"/>
    <w:rsid w:val="0014071B"/>
    <w:rsid w:val="0014656A"/>
    <w:rsid w:val="00146F3B"/>
    <w:rsid w:val="00152B43"/>
    <w:rsid w:val="00152D82"/>
    <w:rsid w:val="00153840"/>
    <w:rsid w:val="00154AC6"/>
    <w:rsid w:val="00163AB9"/>
    <w:rsid w:val="00164E5D"/>
    <w:rsid w:val="001677B4"/>
    <w:rsid w:val="001733C8"/>
    <w:rsid w:val="00173BCD"/>
    <w:rsid w:val="00181448"/>
    <w:rsid w:val="00182BB6"/>
    <w:rsid w:val="001834C6"/>
    <w:rsid w:val="0018626A"/>
    <w:rsid w:val="00186C7E"/>
    <w:rsid w:val="001876A0"/>
    <w:rsid w:val="00194EAB"/>
    <w:rsid w:val="001A0AA3"/>
    <w:rsid w:val="001A3CEF"/>
    <w:rsid w:val="001A73A3"/>
    <w:rsid w:val="001B364E"/>
    <w:rsid w:val="001B5F6B"/>
    <w:rsid w:val="001B5FE0"/>
    <w:rsid w:val="001C0ABC"/>
    <w:rsid w:val="001C393D"/>
    <w:rsid w:val="001C3C58"/>
    <w:rsid w:val="001C770A"/>
    <w:rsid w:val="001D1E3B"/>
    <w:rsid w:val="001D419A"/>
    <w:rsid w:val="001D4BE8"/>
    <w:rsid w:val="001D74A9"/>
    <w:rsid w:val="001D7BD9"/>
    <w:rsid w:val="001E0B04"/>
    <w:rsid w:val="001E2BAD"/>
    <w:rsid w:val="001E4ABE"/>
    <w:rsid w:val="001E6C10"/>
    <w:rsid w:val="001E7C91"/>
    <w:rsid w:val="001F0032"/>
    <w:rsid w:val="001F059A"/>
    <w:rsid w:val="001F110A"/>
    <w:rsid w:val="001F4614"/>
    <w:rsid w:val="001F5488"/>
    <w:rsid w:val="001F61D5"/>
    <w:rsid w:val="001F74BE"/>
    <w:rsid w:val="001F77A1"/>
    <w:rsid w:val="0021216C"/>
    <w:rsid w:val="00213865"/>
    <w:rsid w:val="00213E0C"/>
    <w:rsid w:val="002164BD"/>
    <w:rsid w:val="00232292"/>
    <w:rsid w:val="00236231"/>
    <w:rsid w:val="00237D55"/>
    <w:rsid w:val="00240EE0"/>
    <w:rsid w:val="002421B8"/>
    <w:rsid w:val="00247527"/>
    <w:rsid w:val="00251CAB"/>
    <w:rsid w:val="00252C97"/>
    <w:rsid w:val="002569F6"/>
    <w:rsid w:val="00256DE1"/>
    <w:rsid w:val="002606BE"/>
    <w:rsid w:val="00261A8F"/>
    <w:rsid w:val="0026468E"/>
    <w:rsid w:val="002647CC"/>
    <w:rsid w:val="00270F50"/>
    <w:rsid w:val="002737B5"/>
    <w:rsid w:val="0027595C"/>
    <w:rsid w:val="002810DD"/>
    <w:rsid w:val="00281C4C"/>
    <w:rsid w:val="0028321A"/>
    <w:rsid w:val="00284E13"/>
    <w:rsid w:val="00285A96"/>
    <w:rsid w:val="002A7A52"/>
    <w:rsid w:val="002B0ED1"/>
    <w:rsid w:val="002B221E"/>
    <w:rsid w:val="002B2257"/>
    <w:rsid w:val="002B3379"/>
    <w:rsid w:val="002B4019"/>
    <w:rsid w:val="002B40DA"/>
    <w:rsid w:val="002C2A74"/>
    <w:rsid w:val="002D33E6"/>
    <w:rsid w:val="002D4295"/>
    <w:rsid w:val="002E69B2"/>
    <w:rsid w:val="002F40D6"/>
    <w:rsid w:val="002F4E34"/>
    <w:rsid w:val="002F5DA1"/>
    <w:rsid w:val="00300BDF"/>
    <w:rsid w:val="00303072"/>
    <w:rsid w:val="003030A8"/>
    <w:rsid w:val="00306297"/>
    <w:rsid w:val="0030787A"/>
    <w:rsid w:val="00312B76"/>
    <w:rsid w:val="003142BB"/>
    <w:rsid w:val="00314EED"/>
    <w:rsid w:val="003150B1"/>
    <w:rsid w:val="003257A1"/>
    <w:rsid w:val="00331A79"/>
    <w:rsid w:val="00332C7F"/>
    <w:rsid w:val="003335B0"/>
    <w:rsid w:val="00342B32"/>
    <w:rsid w:val="00343B76"/>
    <w:rsid w:val="0035019C"/>
    <w:rsid w:val="0035115D"/>
    <w:rsid w:val="00351B87"/>
    <w:rsid w:val="003661D2"/>
    <w:rsid w:val="00367F83"/>
    <w:rsid w:val="003711E5"/>
    <w:rsid w:val="0038457D"/>
    <w:rsid w:val="00386B21"/>
    <w:rsid w:val="003901D2"/>
    <w:rsid w:val="003920FA"/>
    <w:rsid w:val="0039252B"/>
    <w:rsid w:val="0039712A"/>
    <w:rsid w:val="00397D2C"/>
    <w:rsid w:val="003A2895"/>
    <w:rsid w:val="003A2BB9"/>
    <w:rsid w:val="003A7EB0"/>
    <w:rsid w:val="003B3524"/>
    <w:rsid w:val="003B3F22"/>
    <w:rsid w:val="003B66D9"/>
    <w:rsid w:val="003B6E66"/>
    <w:rsid w:val="003B7A97"/>
    <w:rsid w:val="003C0656"/>
    <w:rsid w:val="003C0731"/>
    <w:rsid w:val="003C1BE3"/>
    <w:rsid w:val="003C35D5"/>
    <w:rsid w:val="003C42E0"/>
    <w:rsid w:val="003C4596"/>
    <w:rsid w:val="003C4970"/>
    <w:rsid w:val="003C7335"/>
    <w:rsid w:val="003D15C6"/>
    <w:rsid w:val="003D347C"/>
    <w:rsid w:val="003D4107"/>
    <w:rsid w:val="003D5187"/>
    <w:rsid w:val="003E068E"/>
    <w:rsid w:val="003F2070"/>
    <w:rsid w:val="003F5FA4"/>
    <w:rsid w:val="00402059"/>
    <w:rsid w:val="004021BC"/>
    <w:rsid w:val="00402B9B"/>
    <w:rsid w:val="00410938"/>
    <w:rsid w:val="00414981"/>
    <w:rsid w:val="00415899"/>
    <w:rsid w:val="00417A3B"/>
    <w:rsid w:val="00420708"/>
    <w:rsid w:val="00421439"/>
    <w:rsid w:val="004214DA"/>
    <w:rsid w:val="00426524"/>
    <w:rsid w:val="00433F9B"/>
    <w:rsid w:val="00443651"/>
    <w:rsid w:val="0044551F"/>
    <w:rsid w:val="00446002"/>
    <w:rsid w:val="00451CDE"/>
    <w:rsid w:val="004529D5"/>
    <w:rsid w:val="00456876"/>
    <w:rsid w:val="0046171E"/>
    <w:rsid w:val="004632FE"/>
    <w:rsid w:val="00470059"/>
    <w:rsid w:val="00470946"/>
    <w:rsid w:val="004727D2"/>
    <w:rsid w:val="00473A52"/>
    <w:rsid w:val="00473E28"/>
    <w:rsid w:val="004742DB"/>
    <w:rsid w:val="00483118"/>
    <w:rsid w:val="00486545"/>
    <w:rsid w:val="00486C67"/>
    <w:rsid w:val="00491D61"/>
    <w:rsid w:val="00491ECE"/>
    <w:rsid w:val="004936DE"/>
    <w:rsid w:val="004947E1"/>
    <w:rsid w:val="00494B4A"/>
    <w:rsid w:val="00495FFC"/>
    <w:rsid w:val="004A4129"/>
    <w:rsid w:val="004B2750"/>
    <w:rsid w:val="004B4F3D"/>
    <w:rsid w:val="004B6B12"/>
    <w:rsid w:val="004C0607"/>
    <w:rsid w:val="004C1A8D"/>
    <w:rsid w:val="004C2089"/>
    <w:rsid w:val="004C29E4"/>
    <w:rsid w:val="004C7EBE"/>
    <w:rsid w:val="004D0167"/>
    <w:rsid w:val="004D2021"/>
    <w:rsid w:val="004D4A20"/>
    <w:rsid w:val="004E19BF"/>
    <w:rsid w:val="004F1916"/>
    <w:rsid w:val="004F1DCB"/>
    <w:rsid w:val="004F1F68"/>
    <w:rsid w:val="004F25FC"/>
    <w:rsid w:val="004F3850"/>
    <w:rsid w:val="004F38B9"/>
    <w:rsid w:val="004F39CC"/>
    <w:rsid w:val="004F4409"/>
    <w:rsid w:val="004F65A4"/>
    <w:rsid w:val="004F6920"/>
    <w:rsid w:val="00501BF1"/>
    <w:rsid w:val="005035D0"/>
    <w:rsid w:val="00503F3B"/>
    <w:rsid w:val="005053C8"/>
    <w:rsid w:val="00505AA4"/>
    <w:rsid w:val="00506106"/>
    <w:rsid w:val="00511F4F"/>
    <w:rsid w:val="0051238B"/>
    <w:rsid w:val="005147A1"/>
    <w:rsid w:val="0052195B"/>
    <w:rsid w:val="00521AFE"/>
    <w:rsid w:val="0052422B"/>
    <w:rsid w:val="00524AF0"/>
    <w:rsid w:val="005259B6"/>
    <w:rsid w:val="005261B3"/>
    <w:rsid w:val="005306E1"/>
    <w:rsid w:val="00540195"/>
    <w:rsid w:val="005443D6"/>
    <w:rsid w:val="00544C56"/>
    <w:rsid w:val="00547461"/>
    <w:rsid w:val="00547E04"/>
    <w:rsid w:val="00555746"/>
    <w:rsid w:val="005612BE"/>
    <w:rsid w:val="00562F3E"/>
    <w:rsid w:val="00567A57"/>
    <w:rsid w:val="00571068"/>
    <w:rsid w:val="005722ED"/>
    <w:rsid w:val="00572785"/>
    <w:rsid w:val="005759BF"/>
    <w:rsid w:val="00580A2E"/>
    <w:rsid w:val="005850A4"/>
    <w:rsid w:val="00586208"/>
    <w:rsid w:val="005864CD"/>
    <w:rsid w:val="00590C34"/>
    <w:rsid w:val="0059330F"/>
    <w:rsid w:val="00593D21"/>
    <w:rsid w:val="00593E8D"/>
    <w:rsid w:val="005947D2"/>
    <w:rsid w:val="00595DA7"/>
    <w:rsid w:val="005A51D4"/>
    <w:rsid w:val="005A7CA9"/>
    <w:rsid w:val="005B26A2"/>
    <w:rsid w:val="005B36C4"/>
    <w:rsid w:val="005B3D89"/>
    <w:rsid w:val="005B4B62"/>
    <w:rsid w:val="005B6491"/>
    <w:rsid w:val="005B7E87"/>
    <w:rsid w:val="005C422E"/>
    <w:rsid w:val="005D3A0E"/>
    <w:rsid w:val="005D45BC"/>
    <w:rsid w:val="005E39C6"/>
    <w:rsid w:val="005E3FDC"/>
    <w:rsid w:val="005E54A4"/>
    <w:rsid w:val="005E5F56"/>
    <w:rsid w:val="005F05E7"/>
    <w:rsid w:val="005F637D"/>
    <w:rsid w:val="00600E2E"/>
    <w:rsid w:val="006019FB"/>
    <w:rsid w:val="006031EC"/>
    <w:rsid w:val="00606623"/>
    <w:rsid w:val="00612229"/>
    <w:rsid w:val="006130E4"/>
    <w:rsid w:val="00617099"/>
    <w:rsid w:val="00621B53"/>
    <w:rsid w:val="00622611"/>
    <w:rsid w:val="00624704"/>
    <w:rsid w:val="006252F5"/>
    <w:rsid w:val="0063369E"/>
    <w:rsid w:val="00637697"/>
    <w:rsid w:val="006405EF"/>
    <w:rsid w:val="0064285B"/>
    <w:rsid w:val="00644C8C"/>
    <w:rsid w:val="006478F4"/>
    <w:rsid w:val="00650DB1"/>
    <w:rsid w:val="006541B0"/>
    <w:rsid w:val="00655FB4"/>
    <w:rsid w:val="006578F4"/>
    <w:rsid w:val="006630C6"/>
    <w:rsid w:val="00667D2B"/>
    <w:rsid w:val="0067008E"/>
    <w:rsid w:val="006705A2"/>
    <w:rsid w:val="00671181"/>
    <w:rsid w:val="0067375B"/>
    <w:rsid w:val="00673C00"/>
    <w:rsid w:val="0067579E"/>
    <w:rsid w:val="00676D92"/>
    <w:rsid w:val="00683165"/>
    <w:rsid w:val="00696030"/>
    <w:rsid w:val="006A20B1"/>
    <w:rsid w:val="006A5785"/>
    <w:rsid w:val="006A7D96"/>
    <w:rsid w:val="006B6B5D"/>
    <w:rsid w:val="006C45DB"/>
    <w:rsid w:val="006D1D22"/>
    <w:rsid w:val="006D1DB4"/>
    <w:rsid w:val="006D281A"/>
    <w:rsid w:val="006E1287"/>
    <w:rsid w:val="006F5510"/>
    <w:rsid w:val="006F591F"/>
    <w:rsid w:val="0070059F"/>
    <w:rsid w:val="00713A4E"/>
    <w:rsid w:val="00714F61"/>
    <w:rsid w:val="0071743D"/>
    <w:rsid w:val="007216B9"/>
    <w:rsid w:val="00722E03"/>
    <w:rsid w:val="00723810"/>
    <w:rsid w:val="00730CA6"/>
    <w:rsid w:val="00732059"/>
    <w:rsid w:val="00732C03"/>
    <w:rsid w:val="007350BE"/>
    <w:rsid w:val="007352FC"/>
    <w:rsid w:val="007353E7"/>
    <w:rsid w:val="0074083E"/>
    <w:rsid w:val="00740C6E"/>
    <w:rsid w:val="00743463"/>
    <w:rsid w:val="00747784"/>
    <w:rsid w:val="007503E3"/>
    <w:rsid w:val="00750DE9"/>
    <w:rsid w:val="00755430"/>
    <w:rsid w:val="00762CBC"/>
    <w:rsid w:val="00766663"/>
    <w:rsid w:val="00771EFC"/>
    <w:rsid w:val="00774120"/>
    <w:rsid w:val="00776054"/>
    <w:rsid w:val="0078222A"/>
    <w:rsid w:val="00787776"/>
    <w:rsid w:val="007906A4"/>
    <w:rsid w:val="007956DA"/>
    <w:rsid w:val="00795CBD"/>
    <w:rsid w:val="007A212E"/>
    <w:rsid w:val="007A684B"/>
    <w:rsid w:val="007B1880"/>
    <w:rsid w:val="007B1A02"/>
    <w:rsid w:val="007B6B42"/>
    <w:rsid w:val="007B795B"/>
    <w:rsid w:val="007C14A0"/>
    <w:rsid w:val="007C204E"/>
    <w:rsid w:val="007C2E57"/>
    <w:rsid w:val="007C45FE"/>
    <w:rsid w:val="007D02F8"/>
    <w:rsid w:val="007D0E0F"/>
    <w:rsid w:val="007D5E73"/>
    <w:rsid w:val="007D7060"/>
    <w:rsid w:val="007E30F8"/>
    <w:rsid w:val="007E39B3"/>
    <w:rsid w:val="007F078C"/>
    <w:rsid w:val="007F3AFE"/>
    <w:rsid w:val="007F4815"/>
    <w:rsid w:val="007F5893"/>
    <w:rsid w:val="007F77AF"/>
    <w:rsid w:val="0080089F"/>
    <w:rsid w:val="00806409"/>
    <w:rsid w:val="00807D35"/>
    <w:rsid w:val="00813800"/>
    <w:rsid w:val="008161E2"/>
    <w:rsid w:val="0082019A"/>
    <w:rsid w:val="00823236"/>
    <w:rsid w:val="008360B8"/>
    <w:rsid w:val="0084317F"/>
    <w:rsid w:val="0084692C"/>
    <w:rsid w:val="00855BB9"/>
    <w:rsid w:val="00861A2D"/>
    <w:rsid w:val="00862AB0"/>
    <w:rsid w:val="0086329A"/>
    <w:rsid w:val="008704C7"/>
    <w:rsid w:val="00872808"/>
    <w:rsid w:val="00873C73"/>
    <w:rsid w:val="00875B0B"/>
    <w:rsid w:val="00875FA8"/>
    <w:rsid w:val="00877C95"/>
    <w:rsid w:val="008807F7"/>
    <w:rsid w:val="00893DEB"/>
    <w:rsid w:val="00895F51"/>
    <w:rsid w:val="00897398"/>
    <w:rsid w:val="008A47EC"/>
    <w:rsid w:val="008B2088"/>
    <w:rsid w:val="008B2B00"/>
    <w:rsid w:val="008B2D33"/>
    <w:rsid w:val="008B47C3"/>
    <w:rsid w:val="008B4FAB"/>
    <w:rsid w:val="008B5026"/>
    <w:rsid w:val="008B6BB1"/>
    <w:rsid w:val="008B70EE"/>
    <w:rsid w:val="008C285A"/>
    <w:rsid w:val="008D13E1"/>
    <w:rsid w:val="008D25AE"/>
    <w:rsid w:val="008D36F0"/>
    <w:rsid w:val="008D7DBA"/>
    <w:rsid w:val="008E48FC"/>
    <w:rsid w:val="008F114D"/>
    <w:rsid w:val="008F5B9D"/>
    <w:rsid w:val="00900AFE"/>
    <w:rsid w:val="00905D02"/>
    <w:rsid w:val="009168B8"/>
    <w:rsid w:val="00916A64"/>
    <w:rsid w:val="009173FF"/>
    <w:rsid w:val="0092055D"/>
    <w:rsid w:val="00920880"/>
    <w:rsid w:val="00920C9F"/>
    <w:rsid w:val="00923E53"/>
    <w:rsid w:val="009249B6"/>
    <w:rsid w:val="00924ABC"/>
    <w:rsid w:val="00940363"/>
    <w:rsid w:val="0094561E"/>
    <w:rsid w:val="00945A2D"/>
    <w:rsid w:val="00952226"/>
    <w:rsid w:val="00957B35"/>
    <w:rsid w:val="009600CE"/>
    <w:rsid w:val="0096187F"/>
    <w:rsid w:val="00962E0F"/>
    <w:rsid w:val="00965DEE"/>
    <w:rsid w:val="009723ED"/>
    <w:rsid w:val="0097257F"/>
    <w:rsid w:val="00975261"/>
    <w:rsid w:val="00981C5F"/>
    <w:rsid w:val="009820F1"/>
    <w:rsid w:val="0098755E"/>
    <w:rsid w:val="00991819"/>
    <w:rsid w:val="009935E6"/>
    <w:rsid w:val="00993934"/>
    <w:rsid w:val="00993B68"/>
    <w:rsid w:val="009A0D3C"/>
    <w:rsid w:val="009A3AD5"/>
    <w:rsid w:val="009A4F1C"/>
    <w:rsid w:val="009A548A"/>
    <w:rsid w:val="009A5AB4"/>
    <w:rsid w:val="009A6113"/>
    <w:rsid w:val="009A64EB"/>
    <w:rsid w:val="009A6520"/>
    <w:rsid w:val="009B059F"/>
    <w:rsid w:val="009B18DA"/>
    <w:rsid w:val="009B2A0A"/>
    <w:rsid w:val="009B76E6"/>
    <w:rsid w:val="009D0910"/>
    <w:rsid w:val="009D4CB9"/>
    <w:rsid w:val="009E03E1"/>
    <w:rsid w:val="009E77F4"/>
    <w:rsid w:val="009F1C6E"/>
    <w:rsid w:val="009F5880"/>
    <w:rsid w:val="00A01E59"/>
    <w:rsid w:val="00A04073"/>
    <w:rsid w:val="00A064BF"/>
    <w:rsid w:val="00A06782"/>
    <w:rsid w:val="00A108EB"/>
    <w:rsid w:val="00A11EE7"/>
    <w:rsid w:val="00A16D7D"/>
    <w:rsid w:val="00A2525D"/>
    <w:rsid w:val="00A26587"/>
    <w:rsid w:val="00A31037"/>
    <w:rsid w:val="00A32ECA"/>
    <w:rsid w:val="00A34C17"/>
    <w:rsid w:val="00A405DA"/>
    <w:rsid w:val="00A40D99"/>
    <w:rsid w:val="00A41CAB"/>
    <w:rsid w:val="00A41D88"/>
    <w:rsid w:val="00A443C2"/>
    <w:rsid w:val="00A51B28"/>
    <w:rsid w:val="00A55719"/>
    <w:rsid w:val="00A5608F"/>
    <w:rsid w:val="00A564F5"/>
    <w:rsid w:val="00A60789"/>
    <w:rsid w:val="00A66FB7"/>
    <w:rsid w:val="00A71B52"/>
    <w:rsid w:val="00A73BA5"/>
    <w:rsid w:val="00A77584"/>
    <w:rsid w:val="00A83447"/>
    <w:rsid w:val="00A83E3B"/>
    <w:rsid w:val="00A85933"/>
    <w:rsid w:val="00A93B96"/>
    <w:rsid w:val="00A9717E"/>
    <w:rsid w:val="00A975C0"/>
    <w:rsid w:val="00AA3F9E"/>
    <w:rsid w:val="00AA50F4"/>
    <w:rsid w:val="00AA6AF3"/>
    <w:rsid w:val="00AB0EDB"/>
    <w:rsid w:val="00AB1059"/>
    <w:rsid w:val="00AB2466"/>
    <w:rsid w:val="00AB3370"/>
    <w:rsid w:val="00AB5F3E"/>
    <w:rsid w:val="00AB699C"/>
    <w:rsid w:val="00AB6C12"/>
    <w:rsid w:val="00AB77D8"/>
    <w:rsid w:val="00AB7E8E"/>
    <w:rsid w:val="00AC00FB"/>
    <w:rsid w:val="00AC751D"/>
    <w:rsid w:val="00AD4A21"/>
    <w:rsid w:val="00AD7E58"/>
    <w:rsid w:val="00AE204F"/>
    <w:rsid w:val="00AE33F2"/>
    <w:rsid w:val="00AE442D"/>
    <w:rsid w:val="00AE75C1"/>
    <w:rsid w:val="00AF59D9"/>
    <w:rsid w:val="00AF7B67"/>
    <w:rsid w:val="00B0086E"/>
    <w:rsid w:val="00B01414"/>
    <w:rsid w:val="00B02394"/>
    <w:rsid w:val="00B0562C"/>
    <w:rsid w:val="00B05761"/>
    <w:rsid w:val="00B07357"/>
    <w:rsid w:val="00B11FC2"/>
    <w:rsid w:val="00B1217F"/>
    <w:rsid w:val="00B134FC"/>
    <w:rsid w:val="00B16829"/>
    <w:rsid w:val="00B21983"/>
    <w:rsid w:val="00B23FBC"/>
    <w:rsid w:val="00B3145D"/>
    <w:rsid w:val="00B33445"/>
    <w:rsid w:val="00B34201"/>
    <w:rsid w:val="00B34B75"/>
    <w:rsid w:val="00B3748D"/>
    <w:rsid w:val="00B378CE"/>
    <w:rsid w:val="00B43A4F"/>
    <w:rsid w:val="00B47E6A"/>
    <w:rsid w:val="00B52447"/>
    <w:rsid w:val="00B618AA"/>
    <w:rsid w:val="00B65AFF"/>
    <w:rsid w:val="00B67676"/>
    <w:rsid w:val="00B677EA"/>
    <w:rsid w:val="00B67842"/>
    <w:rsid w:val="00B70EC1"/>
    <w:rsid w:val="00B77DB4"/>
    <w:rsid w:val="00B77E77"/>
    <w:rsid w:val="00B82DCD"/>
    <w:rsid w:val="00B83EE2"/>
    <w:rsid w:val="00B91BF3"/>
    <w:rsid w:val="00BA59C1"/>
    <w:rsid w:val="00BA5E3F"/>
    <w:rsid w:val="00BA6ED1"/>
    <w:rsid w:val="00BB12F8"/>
    <w:rsid w:val="00BB3F97"/>
    <w:rsid w:val="00BC1402"/>
    <w:rsid w:val="00BC243B"/>
    <w:rsid w:val="00BC35F9"/>
    <w:rsid w:val="00BD1B7D"/>
    <w:rsid w:val="00BD1EBD"/>
    <w:rsid w:val="00BE017A"/>
    <w:rsid w:val="00BE05CD"/>
    <w:rsid w:val="00BE2486"/>
    <w:rsid w:val="00BE62A6"/>
    <w:rsid w:val="00C10F80"/>
    <w:rsid w:val="00C23459"/>
    <w:rsid w:val="00C25753"/>
    <w:rsid w:val="00C31CF7"/>
    <w:rsid w:val="00C33E61"/>
    <w:rsid w:val="00C415E1"/>
    <w:rsid w:val="00C46B74"/>
    <w:rsid w:val="00C506A6"/>
    <w:rsid w:val="00C51DF9"/>
    <w:rsid w:val="00C53D3F"/>
    <w:rsid w:val="00C53F0D"/>
    <w:rsid w:val="00C5417D"/>
    <w:rsid w:val="00C55DAC"/>
    <w:rsid w:val="00C56F94"/>
    <w:rsid w:val="00C5747F"/>
    <w:rsid w:val="00C60581"/>
    <w:rsid w:val="00C6254C"/>
    <w:rsid w:val="00C6355B"/>
    <w:rsid w:val="00C6373E"/>
    <w:rsid w:val="00C67183"/>
    <w:rsid w:val="00C706C6"/>
    <w:rsid w:val="00C71B2B"/>
    <w:rsid w:val="00C73A90"/>
    <w:rsid w:val="00C74561"/>
    <w:rsid w:val="00C7512B"/>
    <w:rsid w:val="00C76A08"/>
    <w:rsid w:val="00C94068"/>
    <w:rsid w:val="00CA18EB"/>
    <w:rsid w:val="00CB0A54"/>
    <w:rsid w:val="00CB36DB"/>
    <w:rsid w:val="00CC1383"/>
    <w:rsid w:val="00CC7C9E"/>
    <w:rsid w:val="00CC7DA5"/>
    <w:rsid w:val="00CD048D"/>
    <w:rsid w:val="00CE1660"/>
    <w:rsid w:val="00CE2B5E"/>
    <w:rsid w:val="00CE6E2C"/>
    <w:rsid w:val="00CF000E"/>
    <w:rsid w:val="00CF048E"/>
    <w:rsid w:val="00CF4418"/>
    <w:rsid w:val="00CF5E87"/>
    <w:rsid w:val="00CF655A"/>
    <w:rsid w:val="00CF75C1"/>
    <w:rsid w:val="00D01C96"/>
    <w:rsid w:val="00D065E1"/>
    <w:rsid w:val="00D119BC"/>
    <w:rsid w:val="00D15D8D"/>
    <w:rsid w:val="00D22CDF"/>
    <w:rsid w:val="00D320B5"/>
    <w:rsid w:val="00D341C9"/>
    <w:rsid w:val="00D34D70"/>
    <w:rsid w:val="00D36040"/>
    <w:rsid w:val="00D416B4"/>
    <w:rsid w:val="00D479BA"/>
    <w:rsid w:val="00D52070"/>
    <w:rsid w:val="00D559E7"/>
    <w:rsid w:val="00D56055"/>
    <w:rsid w:val="00D56B01"/>
    <w:rsid w:val="00D62B38"/>
    <w:rsid w:val="00D72B25"/>
    <w:rsid w:val="00D7480B"/>
    <w:rsid w:val="00D80CFA"/>
    <w:rsid w:val="00D81D6F"/>
    <w:rsid w:val="00D82520"/>
    <w:rsid w:val="00D828BA"/>
    <w:rsid w:val="00D8307A"/>
    <w:rsid w:val="00D856DE"/>
    <w:rsid w:val="00D85726"/>
    <w:rsid w:val="00D85A75"/>
    <w:rsid w:val="00D86331"/>
    <w:rsid w:val="00D909D3"/>
    <w:rsid w:val="00D93B6B"/>
    <w:rsid w:val="00D9545B"/>
    <w:rsid w:val="00D95F72"/>
    <w:rsid w:val="00D967FD"/>
    <w:rsid w:val="00DA34BC"/>
    <w:rsid w:val="00DA3D70"/>
    <w:rsid w:val="00DA4A04"/>
    <w:rsid w:val="00DA5170"/>
    <w:rsid w:val="00DA7EF6"/>
    <w:rsid w:val="00DB63DA"/>
    <w:rsid w:val="00DC05B5"/>
    <w:rsid w:val="00DC12A7"/>
    <w:rsid w:val="00DC4371"/>
    <w:rsid w:val="00DC6B1F"/>
    <w:rsid w:val="00DC7100"/>
    <w:rsid w:val="00DD4B3E"/>
    <w:rsid w:val="00DD77A2"/>
    <w:rsid w:val="00DD7BD0"/>
    <w:rsid w:val="00DE0639"/>
    <w:rsid w:val="00DE260E"/>
    <w:rsid w:val="00DE678E"/>
    <w:rsid w:val="00DF109E"/>
    <w:rsid w:val="00E10A07"/>
    <w:rsid w:val="00E1712D"/>
    <w:rsid w:val="00E27EB1"/>
    <w:rsid w:val="00E30B0E"/>
    <w:rsid w:val="00E43A48"/>
    <w:rsid w:val="00E44974"/>
    <w:rsid w:val="00E46AF2"/>
    <w:rsid w:val="00E46CD7"/>
    <w:rsid w:val="00E47348"/>
    <w:rsid w:val="00E515CF"/>
    <w:rsid w:val="00E56CEF"/>
    <w:rsid w:val="00E56D10"/>
    <w:rsid w:val="00E57E7C"/>
    <w:rsid w:val="00E603D5"/>
    <w:rsid w:val="00E6069E"/>
    <w:rsid w:val="00E63C0D"/>
    <w:rsid w:val="00E64157"/>
    <w:rsid w:val="00E7112A"/>
    <w:rsid w:val="00E742D0"/>
    <w:rsid w:val="00E85FAB"/>
    <w:rsid w:val="00E9345F"/>
    <w:rsid w:val="00EA00BF"/>
    <w:rsid w:val="00EA0DCA"/>
    <w:rsid w:val="00EA1EA1"/>
    <w:rsid w:val="00EA5128"/>
    <w:rsid w:val="00EB400C"/>
    <w:rsid w:val="00EB6CCB"/>
    <w:rsid w:val="00EB7722"/>
    <w:rsid w:val="00EC6FB7"/>
    <w:rsid w:val="00ED1A1F"/>
    <w:rsid w:val="00ED3E6E"/>
    <w:rsid w:val="00ED7354"/>
    <w:rsid w:val="00ED7DF7"/>
    <w:rsid w:val="00EE02FE"/>
    <w:rsid w:val="00EE0BD0"/>
    <w:rsid w:val="00EE2109"/>
    <w:rsid w:val="00EE2D5F"/>
    <w:rsid w:val="00EE52CB"/>
    <w:rsid w:val="00EE6401"/>
    <w:rsid w:val="00EE6B7B"/>
    <w:rsid w:val="00EE75CB"/>
    <w:rsid w:val="00EF51EB"/>
    <w:rsid w:val="00F01D30"/>
    <w:rsid w:val="00F02902"/>
    <w:rsid w:val="00F07F56"/>
    <w:rsid w:val="00F21E14"/>
    <w:rsid w:val="00F25C47"/>
    <w:rsid w:val="00F26835"/>
    <w:rsid w:val="00F276C5"/>
    <w:rsid w:val="00F30102"/>
    <w:rsid w:val="00F327DB"/>
    <w:rsid w:val="00F45E66"/>
    <w:rsid w:val="00F470E2"/>
    <w:rsid w:val="00F50593"/>
    <w:rsid w:val="00F574B3"/>
    <w:rsid w:val="00F5794D"/>
    <w:rsid w:val="00F57E7D"/>
    <w:rsid w:val="00F62132"/>
    <w:rsid w:val="00F65D8A"/>
    <w:rsid w:val="00F75497"/>
    <w:rsid w:val="00F84C6F"/>
    <w:rsid w:val="00F91821"/>
    <w:rsid w:val="00F9185F"/>
    <w:rsid w:val="00F91FBA"/>
    <w:rsid w:val="00F92ABA"/>
    <w:rsid w:val="00F92B0E"/>
    <w:rsid w:val="00F96144"/>
    <w:rsid w:val="00FA6E01"/>
    <w:rsid w:val="00FB3C8D"/>
    <w:rsid w:val="00FB46FE"/>
    <w:rsid w:val="00FB4F9C"/>
    <w:rsid w:val="00FC05C7"/>
    <w:rsid w:val="00FC1F8F"/>
    <w:rsid w:val="00FC646E"/>
    <w:rsid w:val="00FE1013"/>
    <w:rsid w:val="00FE6DAB"/>
    <w:rsid w:val="00FE7998"/>
    <w:rsid w:val="00FE7CED"/>
    <w:rsid w:val="00FF72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6A2F498"/>
  <w15:docId w15:val="{6B236D09-64F7-4D1E-96EF-F1AD04D24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l-SI"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1BF3"/>
    <w:pPr>
      <w:jc w:val="both"/>
    </w:pPr>
    <w:rPr>
      <w:rFonts w:ascii="Times New Roman" w:hAnsi="Times New Roman"/>
      <w:sz w:val="24"/>
      <w:szCs w:val="24"/>
      <w:lang w:eastAsia="en-US"/>
    </w:rPr>
  </w:style>
  <w:style w:type="paragraph" w:styleId="Heading1">
    <w:name w:val="heading 1"/>
    <w:basedOn w:val="Normal"/>
    <w:next w:val="Normal"/>
    <w:link w:val="Heading1Char"/>
    <w:uiPriority w:val="9"/>
    <w:qFormat/>
    <w:rsid w:val="001B5FE0"/>
    <w:pPr>
      <w:keepNext/>
      <w:numPr>
        <w:numId w:val="1"/>
      </w:numPr>
      <w:spacing w:after="240"/>
      <w:jc w:val="left"/>
      <w:outlineLvl w:val="0"/>
    </w:pPr>
    <w:rPr>
      <w:rFonts w:eastAsia="Adobe Gothic Std B"/>
      <w:b/>
      <w:bCs/>
      <w:color w:val="005DA4"/>
      <w:kern w:val="32"/>
    </w:rPr>
  </w:style>
  <w:style w:type="paragraph" w:styleId="Heading2">
    <w:name w:val="heading 2"/>
    <w:basedOn w:val="Normal"/>
    <w:next w:val="Normal"/>
    <w:link w:val="Heading2Char"/>
    <w:uiPriority w:val="9"/>
    <w:unhideWhenUsed/>
    <w:qFormat/>
    <w:rsid w:val="00AE204F"/>
    <w:pPr>
      <w:spacing w:after="240"/>
      <w:jc w:val="left"/>
      <w:outlineLvl w:val="1"/>
    </w:pPr>
    <w:rPr>
      <w:b/>
      <w:color w:val="005DA4"/>
    </w:rPr>
  </w:style>
  <w:style w:type="paragraph" w:styleId="Heading3">
    <w:name w:val="heading 3"/>
    <w:basedOn w:val="Normal"/>
    <w:next w:val="Normal"/>
    <w:link w:val="Heading3Char"/>
    <w:autoRedefine/>
    <w:uiPriority w:val="9"/>
    <w:unhideWhenUsed/>
    <w:qFormat/>
    <w:rsid w:val="00544C56"/>
    <w:pPr>
      <w:keepNext/>
      <w:spacing w:after="240"/>
      <w:ind w:left="426" w:hanging="66"/>
      <w:outlineLvl w:val="2"/>
    </w:pPr>
    <w:rPr>
      <w:bCs/>
      <w:u w:val="single"/>
    </w:rPr>
  </w:style>
  <w:style w:type="paragraph" w:styleId="Heading4">
    <w:name w:val="heading 4"/>
    <w:basedOn w:val="Normal"/>
    <w:next w:val="Normal"/>
    <w:link w:val="Heading4Char"/>
    <w:uiPriority w:val="9"/>
    <w:unhideWhenUsed/>
    <w:qFormat/>
    <w:rsid w:val="002606BE"/>
    <w:pPr>
      <w:keepNext/>
      <w:spacing w:before="240" w:after="60"/>
      <w:outlineLvl w:val="3"/>
    </w:pPr>
    <w:rPr>
      <w:b/>
      <w:bCs/>
      <w:color w:val="005DA4"/>
      <w:szCs w:val="28"/>
    </w:rPr>
  </w:style>
  <w:style w:type="paragraph" w:styleId="Heading5">
    <w:name w:val="heading 5"/>
    <w:basedOn w:val="Normal"/>
    <w:next w:val="Normal"/>
    <w:link w:val="Heading5Char"/>
    <w:uiPriority w:val="9"/>
    <w:unhideWhenUsed/>
    <w:qFormat/>
    <w:rsid w:val="00B91BF3"/>
    <w:pPr>
      <w:spacing w:before="240" w:after="60"/>
      <w:outlineLvl w:val="4"/>
    </w:pPr>
    <w:rPr>
      <w:b/>
      <w:bCs/>
      <w:i/>
      <w:iCs/>
      <w:sz w:val="26"/>
      <w:szCs w:val="26"/>
    </w:rPr>
  </w:style>
  <w:style w:type="paragraph" w:styleId="Heading6">
    <w:name w:val="heading 6"/>
    <w:basedOn w:val="Normal"/>
    <w:next w:val="Normal"/>
    <w:link w:val="Heading6Char"/>
    <w:uiPriority w:val="9"/>
    <w:unhideWhenUsed/>
    <w:qFormat/>
    <w:rsid w:val="00B91BF3"/>
    <w:pPr>
      <w:spacing w:before="240" w:after="60"/>
      <w:outlineLvl w:val="5"/>
    </w:pPr>
    <w:rPr>
      <w:b/>
      <w:bCs/>
      <w:sz w:val="22"/>
      <w:szCs w:val="22"/>
    </w:rPr>
  </w:style>
  <w:style w:type="paragraph" w:styleId="Heading7">
    <w:name w:val="heading 7"/>
    <w:basedOn w:val="Normal"/>
    <w:next w:val="Normal"/>
    <w:link w:val="Heading7Char"/>
    <w:uiPriority w:val="9"/>
    <w:unhideWhenUsed/>
    <w:qFormat/>
    <w:rsid w:val="00B91BF3"/>
    <w:pPr>
      <w:spacing w:before="240" w:after="60"/>
      <w:outlineLvl w:val="6"/>
    </w:pPr>
  </w:style>
  <w:style w:type="paragraph" w:styleId="Heading8">
    <w:name w:val="heading 8"/>
    <w:basedOn w:val="Normal"/>
    <w:next w:val="Normal"/>
    <w:link w:val="Heading8Char"/>
    <w:uiPriority w:val="9"/>
    <w:unhideWhenUsed/>
    <w:qFormat/>
    <w:rsid w:val="00B91BF3"/>
    <w:pPr>
      <w:spacing w:before="240" w:after="60"/>
      <w:outlineLvl w:val="7"/>
    </w:pPr>
    <w:rPr>
      <w:i/>
      <w:iCs/>
    </w:rPr>
  </w:style>
  <w:style w:type="paragraph" w:styleId="Heading9">
    <w:name w:val="heading 9"/>
    <w:basedOn w:val="Normal"/>
    <w:next w:val="Normal"/>
    <w:link w:val="Heading9Char"/>
    <w:uiPriority w:val="9"/>
    <w:unhideWhenUsed/>
    <w:qFormat/>
    <w:rsid w:val="00B91BF3"/>
    <w:pPr>
      <w:spacing w:before="240" w:after="60"/>
      <w:outlineLvl w:val="8"/>
    </w:pPr>
    <w:rPr>
      <w:rFonts w:ascii="Cambria" w:eastAsia="Times New Roman"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B5FE0"/>
    <w:rPr>
      <w:rFonts w:ascii="Times New Roman" w:eastAsia="Adobe Gothic Std B" w:hAnsi="Times New Roman"/>
      <w:b/>
      <w:bCs/>
      <w:color w:val="005DA4"/>
      <w:kern w:val="32"/>
      <w:sz w:val="24"/>
      <w:szCs w:val="24"/>
      <w:lang w:eastAsia="en-US"/>
    </w:rPr>
  </w:style>
  <w:style w:type="character" w:customStyle="1" w:styleId="Heading2Char">
    <w:name w:val="Heading 2 Char"/>
    <w:link w:val="Heading2"/>
    <w:uiPriority w:val="9"/>
    <w:rsid w:val="00AE204F"/>
    <w:rPr>
      <w:rFonts w:ascii="Times New Roman" w:hAnsi="Times New Roman"/>
      <w:b/>
      <w:color w:val="005DA4"/>
      <w:sz w:val="24"/>
      <w:szCs w:val="24"/>
      <w:lang w:eastAsia="en-US"/>
    </w:rPr>
  </w:style>
  <w:style w:type="character" w:customStyle="1" w:styleId="Heading3Char">
    <w:name w:val="Heading 3 Char"/>
    <w:link w:val="Heading3"/>
    <w:uiPriority w:val="9"/>
    <w:rsid w:val="00544C56"/>
    <w:rPr>
      <w:rFonts w:ascii="Times New Roman" w:hAnsi="Times New Roman"/>
      <w:bCs/>
      <w:sz w:val="24"/>
      <w:szCs w:val="24"/>
      <w:u w:val="single"/>
      <w:lang w:eastAsia="en-US"/>
    </w:rPr>
  </w:style>
  <w:style w:type="character" w:customStyle="1" w:styleId="Heading4Char">
    <w:name w:val="Heading 4 Char"/>
    <w:link w:val="Heading4"/>
    <w:uiPriority w:val="9"/>
    <w:rsid w:val="002606BE"/>
    <w:rPr>
      <w:rFonts w:ascii="Times New Roman" w:hAnsi="Times New Roman"/>
      <w:b/>
      <w:bCs/>
      <w:color w:val="005DA4"/>
      <w:sz w:val="24"/>
      <w:szCs w:val="28"/>
      <w:lang w:eastAsia="en-US"/>
    </w:rPr>
  </w:style>
  <w:style w:type="character" w:customStyle="1" w:styleId="Heading5Char">
    <w:name w:val="Heading 5 Char"/>
    <w:link w:val="Heading5"/>
    <w:uiPriority w:val="9"/>
    <w:semiHidden/>
    <w:rsid w:val="00B91BF3"/>
    <w:rPr>
      <w:b/>
      <w:bCs/>
      <w:i/>
      <w:iCs/>
      <w:sz w:val="26"/>
      <w:szCs w:val="26"/>
    </w:rPr>
  </w:style>
  <w:style w:type="character" w:customStyle="1" w:styleId="Heading6Char">
    <w:name w:val="Heading 6 Char"/>
    <w:link w:val="Heading6"/>
    <w:uiPriority w:val="9"/>
    <w:semiHidden/>
    <w:rsid w:val="00B91BF3"/>
    <w:rPr>
      <w:b/>
      <w:bCs/>
    </w:rPr>
  </w:style>
  <w:style w:type="character" w:customStyle="1" w:styleId="Heading7Char">
    <w:name w:val="Heading 7 Char"/>
    <w:link w:val="Heading7"/>
    <w:uiPriority w:val="9"/>
    <w:semiHidden/>
    <w:rsid w:val="00B91BF3"/>
    <w:rPr>
      <w:sz w:val="24"/>
      <w:szCs w:val="24"/>
    </w:rPr>
  </w:style>
  <w:style w:type="character" w:customStyle="1" w:styleId="Heading8Char">
    <w:name w:val="Heading 8 Char"/>
    <w:link w:val="Heading8"/>
    <w:uiPriority w:val="9"/>
    <w:semiHidden/>
    <w:rsid w:val="00B91BF3"/>
    <w:rPr>
      <w:i/>
      <w:iCs/>
      <w:sz w:val="24"/>
      <w:szCs w:val="24"/>
    </w:rPr>
  </w:style>
  <w:style w:type="character" w:customStyle="1" w:styleId="Heading9Char">
    <w:name w:val="Heading 9 Char"/>
    <w:link w:val="Heading9"/>
    <w:uiPriority w:val="9"/>
    <w:semiHidden/>
    <w:rsid w:val="00B91BF3"/>
    <w:rPr>
      <w:rFonts w:ascii="Cambria" w:eastAsia="Times New Roman" w:hAnsi="Cambria"/>
    </w:rPr>
  </w:style>
  <w:style w:type="paragraph" w:styleId="Title">
    <w:name w:val="Title"/>
    <w:basedOn w:val="Normal"/>
    <w:next w:val="Normal"/>
    <w:link w:val="TitleChar"/>
    <w:uiPriority w:val="10"/>
    <w:qFormat/>
    <w:rsid w:val="002421B8"/>
    <w:pPr>
      <w:spacing w:before="240" w:after="60"/>
      <w:jc w:val="center"/>
    </w:pPr>
    <w:rPr>
      <w:rFonts w:ascii="Arial" w:eastAsia="Times New Roman" w:hAnsi="Arial" w:cs="Arial"/>
      <w:b/>
      <w:bCs/>
      <w:kern w:val="28"/>
      <w:sz w:val="32"/>
      <w:szCs w:val="32"/>
    </w:rPr>
  </w:style>
  <w:style w:type="character" w:customStyle="1" w:styleId="TitleChar">
    <w:name w:val="Title Char"/>
    <w:link w:val="Title"/>
    <w:uiPriority w:val="10"/>
    <w:rsid w:val="002421B8"/>
    <w:rPr>
      <w:rFonts w:ascii="Arial" w:eastAsia="Times New Roman" w:hAnsi="Arial" w:cs="Arial"/>
      <w:b/>
      <w:bCs/>
      <w:kern w:val="28"/>
      <w:sz w:val="32"/>
      <w:szCs w:val="32"/>
      <w:lang w:eastAsia="en-US"/>
    </w:rPr>
  </w:style>
  <w:style w:type="paragraph" w:styleId="Subtitle">
    <w:name w:val="Subtitle"/>
    <w:basedOn w:val="Normal"/>
    <w:next w:val="Normal"/>
    <w:link w:val="SubtitleChar"/>
    <w:uiPriority w:val="11"/>
    <w:qFormat/>
    <w:rsid w:val="002421B8"/>
    <w:pPr>
      <w:spacing w:after="60"/>
      <w:jc w:val="center"/>
    </w:pPr>
    <w:rPr>
      <w:rFonts w:ascii="Arial" w:eastAsia="Times New Roman" w:hAnsi="Arial" w:cs="Arial"/>
    </w:rPr>
  </w:style>
  <w:style w:type="character" w:customStyle="1" w:styleId="SubtitleChar">
    <w:name w:val="Subtitle Char"/>
    <w:link w:val="Subtitle"/>
    <w:uiPriority w:val="11"/>
    <w:rsid w:val="002421B8"/>
    <w:rPr>
      <w:rFonts w:ascii="Arial" w:eastAsia="Times New Roman" w:hAnsi="Arial" w:cs="Arial"/>
      <w:sz w:val="24"/>
      <w:szCs w:val="24"/>
      <w:lang w:eastAsia="en-US"/>
    </w:rPr>
  </w:style>
  <w:style w:type="character" w:styleId="Strong">
    <w:name w:val="Strong"/>
    <w:uiPriority w:val="22"/>
    <w:qFormat/>
    <w:rsid w:val="00B91BF3"/>
    <w:rPr>
      <w:b/>
      <w:bCs/>
    </w:rPr>
  </w:style>
  <w:style w:type="character" w:styleId="Emphasis">
    <w:name w:val="Emphasis"/>
    <w:uiPriority w:val="20"/>
    <w:qFormat/>
    <w:rsid w:val="00B91BF3"/>
    <w:rPr>
      <w:rFonts w:ascii="Calibri" w:hAnsi="Calibri"/>
      <w:b/>
      <w:i/>
      <w:iCs/>
    </w:rPr>
  </w:style>
  <w:style w:type="paragraph" w:styleId="NoSpacing">
    <w:name w:val="No Spacing"/>
    <w:basedOn w:val="Normal"/>
    <w:link w:val="NoSpacingChar"/>
    <w:uiPriority w:val="1"/>
    <w:qFormat/>
    <w:rsid w:val="00B91BF3"/>
    <w:rPr>
      <w:szCs w:val="32"/>
    </w:rPr>
  </w:style>
  <w:style w:type="paragraph" w:styleId="ListParagraph">
    <w:name w:val="List Paragraph"/>
    <w:basedOn w:val="Normal"/>
    <w:uiPriority w:val="34"/>
    <w:qFormat/>
    <w:rsid w:val="00B91BF3"/>
    <w:pPr>
      <w:ind w:left="720"/>
      <w:contextualSpacing/>
    </w:pPr>
  </w:style>
  <w:style w:type="paragraph" w:styleId="Quote">
    <w:name w:val="Quote"/>
    <w:basedOn w:val="Normal"/>
    <w:next w:val="Normal"/>
    <w:link w:val="QuoteChar"/>
    <w:uiPriority w:val="29"/>
    <w:qFormat/>
    <w:rsid w:val="00B91BF3"/>
    <w:rPr>
      <w:i/>
    </w:rPr>
  </w:style>
  <w:style w:type="character" w:customStyle="1" w:styleId="QuoteChar">
    <w:name w:val="Quote Char"/>
    <w:link w:val="Quote"/>
    <w:uiPriority w:val="29"/>
    <w:rsid w:val="00B91BF3"/>
    <w:rPr>
      <w:i/>
      <w:sz w:val="24"/>
      <w:szCs w:val="24"/>
    </w:rPr>
  </w:style>
  <w:style w:type="paragraph" w:styleId="IntenseQuote">
    <w:name w:val="Intense Quote"/>
    <w:basedOn w:val="Normal"/>
    <w:next w:val="Normal"/>
    <w:link w:val="IntenseQuoteChar"/>
    <w:uiPriority w:val="30"/>
    <w:qFormat/>
    <w:rsid w:val="00B91BF3"/>
    <w:pPr>
      <w:ind w:left="720" w:right="720"/>
    </w:pPr>
    <w:rPr>
      <w:b/>
      <w:i/>
      <w:szCs w:val="22"/>
    </w:rPr>
  </w:style>
  <w:style w:type="character" w:customStyle="1" w:styleId="IntenseQuoteChar">
    <w:name w:val="Intense Quote Char"/>
    <w:link w:val="IntenseQuote"/>
    <w:uiPriority w:val="30"/>
    <w:rsid w:val="00B91BF3"/>
    <w:rPr>
      <w:b/>
      <w:i/>
      <w:sz w:val="24"/>
    </w:rPr>
  </w:style>
  <w:style w:type="character" w:styleId="SubtleEmphasis">
    <w:name w:val="Subtle Emphasis"/>
    <w:uiPriority w:val="19"/>
    <w:qFormat/>
    <w:rsid w:val="00B91BF3"/>
    <w:rPr>
      <w:i/>
      <w:color w:val="5A5A5A"/>
    </w:rPr>
  </w:style>
  <w:style w:type="character" w:styleId="IntenseEmphasis">
    <w:name w:val="Intense Emphasis"/>
    <w:uiPriority w:val="21"/>
    <w:qFormat/>
    <w:rsid w:val="00B91BF3"/>
    <w:rPr>
      <w:b/>
      <w:i/>
      <w:sz w:val="24"/>
      <w:szCs w:val="24"/>
      <w:u w:val="single"/>
    </w:rPr>
  </w:style>
  <w:style w:type="character" w:styleId="SubtleReference">
    <w:name w:val="Subtle Reference"/>
    <w:uiPriority w:val="31"/>
    <w:qFormat/>
    <w:rsid w:val="00B91BF3"/>
    <w:rPr>
      <w:sz w:val="24"/>
      <w:szCs w:val="24"/>
      <w:u w:val="single"/>
    </w:rPr>
  </w:style>
  <w:style w:type="character" w:styleId="IntenseReference">
    <w:name w:val="Intense Reference"/>
    <w:uiPriority w:val="32"/>
    <w:qFormat/>
    <w:rsid w:val="00B91BF3"/>
    <w:rPr>
      <w:b/>
      <w:sz w:val="24"/>
      <w:u w:val="single"/>
    </w:rPr>
  </w:style>
  <w:style w:type="character" w:styleId="BookTitle">
    <w:name w:val="Book Title"/>
    <w:uiPriority w:val="33"/>
    <w:qFormat/>
    <w:rsid w:val="00B91BF3"/>
    <w:rPr>
      <w:rFonts w:ascii="Cambria" w:eastAsia="Times New Roman" w:hAnsi="Cambria"/>
      <w:b/>
      <w:i/>
      <w:sz w:val="24"/>
      <w:szCs w:val="24"/>
    </w:rPr>
  </w:style>
  <w:style w:type="paragraph" w:styleId="TOCHeading">
    <w:name w:val="TOC Heading"/>
    <w:basedOn w:val="Heading1"/>
    <w:next w:val="Normal"/>
    <w:uiPriority w:val="39"/>
    <w:unhideWhenUsed/>
    <w:qFormat/>
    <w:rsid w:val="00B91BF3"/>
    <w:pPr>
      <w:outlineLvl w:val="9"/>
    </w:pPr>
  </w:style>
  <w:style w:type="paragraph" w:styleId="TOC1">
    <w:name w:val="toc 1"/>
    <w:basedOn w:val="Normal"/>
    <w:next w:val="Normal"/>
    <w:autoRedefine/>
    <w:uiPriority w:val="39"/>
    <w:unhideWhenUsed/>
    <w:qFormat/>
    <w:rsid w:val="000F33CF"/>
    <w:pPr>
      <w:tabs>
        <w:tab w:val="left" w:pos="440"/>
        <w:tab w:val="right" w:leader="dot" w:pos="9016"/>
      </w:tabs>
      <w:spacing w:before="120" w:after="120"/>
    </w:pPr>
    <w:rPr>
      <w:b/>
      <w:sz w:val="20"/>
    </w:rPr>
  </w:style>
  <w:style w:type="character" w:styleId="Hyperlink">
    <w:name w:val="Hyperlink"/>
    <w:unhideWhenUsed/>
    <w:rsid w:val="00EE2109"/>
    <w:rPr>
      <w:color w:val="0000FF"/>
      <w:u w:val="single"/>
    </w:rPr>
  </w:style>
  <w:style w:type="paragraph" w:styleId="TOC2">
    <w:name w:val="toc 2"/>
    <w:basedOn w:val="Normal"/>
    <w:next w:val="Normal"/>
    <w:autoRedefine/>
    <w:uiPriority w:val="39"/>
    <w:unhideWhenUsed/>
    <w:qFormat/>
    <w:rsid w:val="00CC1383"/>
    <w:pPr>
      <w:tabs>
        <w:tab w:val="left" w:pos="426"/>
        <w:tab w:val="right" w:leader="dot" w:pos="9016"/>
      </w:tabs>
      <w:spacing w:before="60" w:after="60"/>
    </w:pPr>
    <w:rPr>
      <w:caps/>
      <w:noProof/>
      <w:sz w:val="20"/>
    </w:rPr>
  </w:style>
  <w:style w:type="paragraph" w:styleId="Header">
    <w:name w:val="header"/>
    <w:basedOn w:val="Normal"/>
    <w:link w:val="HeaderChar"/>
    <w:uiPriority w:val="99"/>
    <w:unhideWhenUsed/>
    <w:rsid w:val="00EE2109"/>
    <w:pPr>
      <w:tabs>
        <w:tab w:val="center" w:pos="4513"/>
        <w:tab w:val="right" w:pos="9026"/>
      </w:tabs>
    </w:pPr>
  </w:style>
  <w:style w:type="character" w:customStyle="1" w:styleId="HeaderChar">
    <w:name w:val="Header Char"/>
    <w:link w:val="Header"/>
    <w:uiPriority w:val="99"/>
    <w:rsid w:val="00EE2109"/>
    <w:rPr>
      <w:rFonts w:ascii="Times New Roman" w:hAnsi="Times New Roman"/>
      <w:sz w:val="24"/>
      <w:szCs w:val="24"/>
      <w:lang w:eastAsia="en-US"/>
    </w:rPr>
  </w:style>
  <w:style w:type="paragraph" w:styleId="Footer">
    <w:name w:val="footer"/>
    <w:basedOn w:val="Normal"/>
    <w:link w:val="FooterChar"/>
    <w:uiPriority w:val="99"/>
    <w:unhideWhenUsed/>
    <w:rsid w:val="00EE2109"/>
    <w:pPr>
      <w:tabs>
        <w:tab w:val="center" w:pos="4513"/>
        <w:tab w:val="right" w:pos="9026"/>
      </w:tabs>
    </w:pPr>
  </w:style>
  <w:style w:type="character" w:customStyle="1" w:styleId="FooterChar">
    <w:name w:val="Footer Char"/>
    <w:link w:val="Footer"/>
    <w:uiPriority w:val="99"/>
    <w:rsid w:val="00EE2109"/>
    <w:rPr>
      <w:rFonts w:ascii="Times New Roman" w:hAnsi="Times New Roman"/>
      <w:sz w:val="24"/>
      <w:szCs w:val="24"/>
      <w:lang w:eastAsia="en-US"/>
    </w:rPr>
  </w:style>
  <w:style w:type="paragraph" w:styleId="BalloonText">
    <w:name w:val="Balloon Text"/>
    <w:basedOn w:val="Normal"/>
    <w:link w:val="BalloonTextChar"/>
    <w:uiPriority w:val="99"/>
    <w:semiHidden/>
    <w:unhideWhenUsed/>
    <w:rsid w:val="00EE2109"/>
    <w:rPr>
      <w:rFonts w:ascii="Tahoma" w:hAnsi="Tahoma" w:cs="Tahoma"/>
      <w:sz w:val="16"/>
      <w:szCs w:val="16"/>
    </w:rPr>
  </w:style>
  <w:style w:type="character" w:customStyle="1" w:styleId="BalloonTextChar">
    <w:name w:val="Balloon Text Char"/>
    <w:link w:val="BalloonText"/>
    <w:uiPriority w:val="99"/>
    <w:semiHidden/>
    <w:rsid w:val="00EE2109"/>
    <w:rPr>
      <w:rFonts w:ascii="Tahoma" w:hAnsi="Tahoma" w:cs="Tahoma"/>
      <w:sz w:val="16"/>
      <w:szCs w:val="16"/>
      <w:lang w:eastAsia="en-US"/>
    </w:rPr>
  </w:style>
  <w:style w:type="character" w:customStyle="1" w:styleId="NoSpacingChar">
    <w:name w:val="No Spacing Char"/>
    <w:link w:val="NoSpacing"/>
    <w:uiPriority w:val="1"/>
    <w:rsid w:val="0012671F"/>
    <w:rPr>
      <w:rFonts w:ascii="Times New Roman" w:hAnsi="Times New Roman"/>
      <w:sz w:val="24"/>
      <w:szCs w:val="32"/>
      <w:lang w:eastAsia="en-US"/>
    </w:rPr>
  </w:style>
  <w:style w:type="paragraph" w:styleId="TOC3">
    <w:name w:val="toc 3"/>
    <w:basedOn w:val="Normal"/>
    <w:next w:val="Normal"/>
    <w:autoRedefine/>
    <w:uiPriority w:val="39"/>
    <w:unhideWhenUsed/>
    <w:qFormat/>
    <w:rsid w:val="001E4ABE"/>
    <w:pPr>
      <w:tabs>
        <w:tab w:val="right" w:leader="dot" w:pos="9016"/>
      </w:tabs>
      <w:ind w:left="1276"/>
      <w:jc w:val="left"/>
    </w:pPr>
    <w:rPr>
      <w:rFonts w:eastAsia="MS Mincho" w:cs="Arial"/>
      <w:i/>
      <w:sz w:val="20"/>
      <w:szCs w:val="22"/>
      <w:lang w:eastAsia="ja-JP"/>
    </w:rPr>
  </w:style>
  <w:style w:type="character" w:customStyle="1" w:styleId="ColorfulGrid-Accent1Char">
    <w:name w:val="Colorful Grid - Accent 1 Char"/>
    <w:link w:val="ColorfulGrid-Accent1"/>
    <w:uiPriority w:val="29"/>
    <w:rsid w:val="0035115D"/>
    <w:rPr>
      <w:i/>
      <w:sz w:val="24"/>
      <w:szCs w:val="24"/>
    </w:rPr>
  </w:style>
  <w:style w:type="character" w:customStyle="1" w:styleId="LightShading-Accent2Char">
    <w:name w:val="Light Shading - Accent 2 Char"/>
    <w:link w:val="LightShading-Accent2"/>
    <w:uiPriority w:val="30"/>
    <w:rsid w:val="0035115D"/>
    <w:rPr>
      <w:b/>
      <w:i/>
      <w:sz w:val="24"/>
    </w:rPr>
  </w:style>
  <w:style w:type="character" w:customStyle="1" w:styleId="Accentuationdiscrte">
    <w:name w:val="Accentuation discrète"/>
    <w:uiPriority w:val="19"/>
    <w:qFormat/>
    <w:rsid w:val="0035115D"/>
    <w:rPr>
      <w:i/>
      <w:color w:val="5A5A5A"/>
    </w:rPr>
  </w:style>
  <w:style w:type="character" w:customStyle="1" w:styleId="Forteaccentuation">
    <w:name w:val="Forte accentuation"/>
    <w:uiPriority w:val="21"/>
    <w:qFormat/>
    <w:rsid w:val="0035115D"/>
    <w:rPr>
      <w:b/>
      <w:i/>
      <w:sz w:val="24"/>
      <w:szCs w:val="24"/>
      <w:u w:val="single"/>
    </w:rPr>
  </w:style>
  <w:style w:type="character" w:customStyle="1" w:styleId="Rfrenceple">
    <w:name w:val="Référence pâle"/>
    <w:uiPriority w:val="31"/>
    <w:qFormat/>
    <w:rsid w:val="0035115D"/>
    <w:rPr>
      <w:sz w:val="24"/>
      <w:szCs w:val="24"/>
      <w:u w:val="single"/>
    </w:rPr>
  </w:style>
  <w:style w:type="character" w:customStyle="1" w:styleId="Rfrenceintense">
    <w:name w:val="Référence intense"/>
    <w:uiPriority w:val="32"/>
    <w:qFormat/>
    <w:rsid w:val="0035115D"/>
    <w:rPr>
      <w:b/>
      <w:sz w:val="24"/>
      <w:u w:val="single"/>
    </w:rPr>
  </w:style>
  <w:style w:type="character" w:customStyle="1" w:styleId="Titredulivre">
    <w:name w:val="Titre du livre"/>
    <w:uiPriority w:val="33"/>
    <w:qFormat/>
    <w:rsid w:val="0035115D"/>
    <w:rPr>
      <w:rFonts w:ascii="Cambria" w:eastAsia="Times New Roman" w:hAnsi="Cambria"/>
      <w:b/>
      <w:i/>
      <w:sz w:val="24"/>
      <w:szCs w:val="24"/>
    </w:rPr>
  </w:style>
  <w:style w:type="paragraph" w:customStyle="1" w:styleId="En-ttedetabledesmatires">
    <w:name w:val="En-tête de table des matières"/>
    <w:basedOn w:val="Heading1"/>
    <w:next w:val="Normal"/>
    <w:uiPriority w:val="39"/>
    <w:semiHidden/>
    <w:unhideWhenUsed/>
    <w:qFormat/>
    <w:rsid w:val="0035115D"/>
    <w:pPr>
      <w:jc w:val="both"/>
      <w:outlineLvl w:val="9"/>
    </w:pPr>
    <w:rPr>
      <w:rFonts w:ascii="Arial" w:eastAsia="Times New Roman" w:hAnsi="Arial"/>
      <w:color w:val="auto"/>
      <w:sz w:val="32"/>
      <w:szCs w:val="32"/>
    </w:rPr>
  </w:style>
  <w:style w:type="character" w:styleId="FootnoteReference">
    <w:name w:val="footnote reference"/>
    <w:aliases w:val="BVI fnr,Footnote Reference Superscript,SUPERS,Footnote symbol,(Footnote Reference),Footnote reference number,note TESI,EN Footnote Reference,Voetnootverwijzing,Times 10 Point,Exposant 3 Point,Appel note de bas de,FR,C"/>
    <w:uiPriority w:val="99"/>
    <w:unhideWhenUsed/>
    <w:qFormat/>
    <w:rsid w:val="0035115D"/>
    <w:rPr>
      <w:vertAlign w:val="superscript"/>
    </w:rPr>
  </w:style>
  <w:style w:type="paragraph" w:customStyle="1" w:styleId="Default">
    <w:name w:val="Default"/>
    <w:rsid w:val="0035115D"/>
    <w:pPr>
      <w:autoSpaceDE w:val="0"/>
      <w:autoSpaceDN w:val="0"/>
      <w:adjustRightInd w:val="0"/>
    </w:pPr>
    <w:rPr>
      <w:rFonts w:ascii="Arial" w:hAnsi="Arial" w:cs="Arial"/>
      <w:color w:val="000000"/>
      <w:sz w:val="24"/>
      <w:szCs w:val="24"/>
    </w:rPr>
  </w:style>
  <w:style w:type="paragraph" w:styleId="FootnoteText">
    <w:name w:val="footnote text"/>
    <w:aliases w:val="fn,footnote text,Fußnotentext Char Char Char Char,Fußnotentext Char Char Char,Footnotetext,Footnotetext1,ftx,Footnotetext2,ftx1,Footnotetext3,ftx2,Footnotetext4,ftx3,Footnotetext5,ftx4,Footnotetext6,Footnotetext7,Footnotetext8"/>
    <w:basedOn w:val="Normal"/>
    <w:link w:val="FootnoteTextChar"/>
    <w:uiPriority w:val="99"/>
    <w:unhideWhenUsed/>
    <w:rsid w:val="0035115D"/>
    <w:rPr>
      <w:sz w:val="20"/>
      <w:szCs w:val="20"/>
    </w:rPr>
  </w:style>
  <w:style w:type="character" w:customStyle="1" w:styleId="FootnoteTextChar">
    <w:name w:val="Footnote Text Char"/>
    <w:aliases w:val="fn Char,footnote text Char,Fußnotentext Char Char Char Char Char,Fußnotentext Char Char Char Char1,Footnotetext Char,Footnotetext1 Char,ftx Char,Footnotetext2 Char,ftx1 Char,Footnotetext3 Char,ftx2 Char,Footnotetext4 Char,ftx3 Char"/>
    <w:link w:val="FootnoteText"/>
    <w:uiPriority w:val="99"/>
    <w:rsid w:val="0035115D"/>
    <w:rPr>
      <w:rFonts w:ascii="Times New Roman" w:hAnsi="Times New Roman"/>
      <w:lang w:val="sl-SI" w:eastAsia="en-US"/>
    </w:rPr>
  </w:style>
  <w:style w:type="character" w:styleId="CommentReference">
    <w:name w:val="annotation reference"/>
    <w:uiPriority w:val="99"/>
    <w:semiHidden/>
    <w:unhideWhenUsed/>
    <w:rsid w:val="0035115D"/>
    <w:rPr>
      <w:sz w:val="16"/>
      <w:szCs w:val="16"/>
    </w:rPr>
  </w:style>
  <w:style w:type="paragraph" w:styleId="CommentText">
    <w:name w:val="annotation text"/>
    <w:basedOn w:val="Normal"/>
    <w:link w:val="CommentTextChar"/>
    <w:uiPriority w:val="99"/>
    <w:unhideWhenUsed/>
    <w:rsid w:val="0035115D"/>
    <w:rPr>
      <w:sz w:val="20"/>
      <w:szCs w:val="20"/>
    </w:rPr>
  </w:style>
  <w:style w:type="character" w:customStyle="1" w:styleId="CommentTextChar">
    <w:name w:val="Comment Text Char"/>
    <w:link w:val="CommentText"/>
    <w:uiPriority w:val="99"/>
    <w:rsid w:val="0035115D"/>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5115D"/>
    <w:rPr>
      <w:b/>
      <w:bCs/>
    </w:rPr>
  </w:style>
  <w:style w:type="character" w:customStyle="1" w:styleId="CommentSubjectChar">
    <w:name w:val="Comment Subject Char"/>
    <w:link w:val="CommentSubject"/>
    <w:uiPriority w:val="99"/>
    <w:semiHidden/>
    <w:rsid w:val="0035115D"/>
    <w:rPr>
      <w:rFonts w:ascii="Times New Roman" w:hAnsi="Times New Roman"/>
      <w:b/>
      <w:bCs/>
      <w:lang w:eastAsia="en-US"/>
    </w:rPr>
  </w:style>
  <w:style w:type="character" w:styleId="FollowedHyperlink">
    <w:name w:val="FollowedHyperlink"/>
    <w:uiPriority w:val="99"/>
    <w:semiHidden/>
    <w:unhideWhenUsed/>
    <w:rsid w:val="0035115D"/>
    <w:rPr>
      <w:color w:val="800080"/>
      <w:u w:val="single"/>
    </w:rPr>
  </w:style>
  <w:style w:type="table" w:styleId="TableGrid">
    <w:name w:val="Table Grid"/>
    <w:basedOn w:val="TableNormal"/>
    <w:uiPriority w:val="59"/>
    <w:rsid w:val="003511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5115D"/>
    <w:pPr>
      <w:ind w:left="720"/>
      <w:jc w:val="left"/>
    </w:pPr>
    <w:rPr>
      <w:rFonts w:ascii="Calibri" w:hAnsi="Calibri" w:cs="Calibri"/>
      <w:sz w:val="18"/>
      <w:szCs w:val="18"/>
    </w:rPr>
  </w:style>
  <w:style w:type="paragraph" w:styleId="TOC5">
    <w:name w:val="toc 5"/>
    <w:basedOn w:val="Normal"/>
    <w:next w:val="Normal"/>
    <w:autoRedefine/>
    <w:uiPriority w:val="39"/>
    <w:unhideWhenUsed/>
    <w:rsid w:val="0035115D"/>
    <w:pPr>
      <w:ind w:left="960"/>
      <w:jc w:val="left"/>
    </w:pPr>
    <w:rPr>
      <w:rFonts w:ascii="Calibri" w:hAnsi="Calibri" w:cs="Calibri"/>
      <w:sz w:val="18"/>
      <w:szCs w:val="18"/>
    </w:rPr>
  </w:style>
  <w:style w:type="paragraph" w:styleId="TOC6">
    <w:name w:val="toc 6"/>
    <w:basedOn w:val="Normal"/>
    <w:next w:val="Normal"/>
    <w:autoRedefine/>
    <w:uiPriority w:val="39"/>
    <w:unhideWhenUsed/>
    <w:rsid w:val="0035115D"/>
    <w:pPr>
      <w:ind w:left="1200"/>
      <w:jc w:val="left"/>
    </w:pPr>
    <w:rPr>
      <w:rFonts w:ascii="Calibri" w:hAnsi="Calibri" w:cs="Calibri"/>
      <w:sz w:val="18"/>
      <w:szCs w:val="18"/>
    </w:rPr>
  </w:style>
  <w:style w:type="paragraph" w:styleId="TOC7">
    <w:name w:val="toc 7"/>
    <w:basedOn w:val="Normal"/>
    <w:next w:val="Normal"/>
    <w:autoRedefine/>
    <w:uiPriority w:val="39"/>
    <w:unhideWhenUsed/>
    <w:rsid w:val="0035115D"/>
    <w:pPr>
      <w:ind w:left="1440"/>
      <w:jc w:val="left"/>
    </w:pPr>
    <w:rPr>
      <w:rFonts w:ascii="Calibri" w:hAnsi="Calibri" w:cs="Calibri"/>
      <w:sz w:val="18"/>
      <w:szCs w:val="18"/>
    </w:rPr>
  </w:style>
  <w:style w:type="paragraph" w:styleId="TOC8">
    <w:name w:val="toc 8"/>
    <w:basedOn w:val="Normal"/>
    <w:next w:val="Normal"/>
    <w:autoRedefine/>
    <w:uiPriority w:val="39"/>
    <w:unhideWhenUsed/>
    <w:rsid w:val="0035115D"/>
    <w:pPr>
      <w:ind w:left="1680"/>
      <w:jc w:val="left"/>
    </w:pPr>
    <w:rPr>
      <w:rFonts w:ascii="Calibri" w:hAnsi="Calibri" w:cs="Calibri"/>
      <w:sz w:val="18"/>
      <w:szCs w:val="18"/>
    </w:rPr>
  </w:style>
  <w:style w:type="paragraph" w:styleId="TOC9">
    <w:name w:val="toc 9"/>
    <w:basedOn w:val="Normal"/>
    <w:next w:val="Normal"/>
    <w:autoRedefine/>
    <w:uiPriority w:val="39"/>
    <w:unhideWhenUsed/>
    <w:rsid w:val="0035115D"/>
    <w:pPr>
      <w:ind w:left="1920"/>
      <w:jc w:val="left"/>
    </w:pPr>
    <w:rPr>
      <w:rFonts w:ascii="Calibri" w:hAnsi="Calibri" w:cs="Calibri"/>
      <w:sz w:val="18"/>
      <w:szCs w:val="18"/>
    </w:rPr>
  </w:style>
  <w:style w:type="table" w:styleId="ColorfulGrid-Accent1">
    <w:name w:val="Colorful Grid Accent 1"/>
    <w:basedOn w:val="TableNormal"/>
    <w:link w:val="ColorfulGrid-Accent1Char"/>
    <w:uiPriority w:val="29"/>
    <w:rsid w:val="0035115D"/>
    <w:rPr>
      <w:i/>
      <w:sz w:val="24"/>
      <w:szCs w:val="24"/>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LightShading-Accent2">
    <w:name w:val="Light Shading Accent 2"/>
    <w:basedOn w:val="TableNormal"/>
    <w:link w:val="LightShading-Accent2Char"/>
    <w:uiPriority w:val="30"/>
    <w:rsid w:val="0035115D"/>
    <w:rPr>
      <w:b/>
      <w:i/>
      <w:sz w:val="24"/>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paragraph" w:customStyle="1" w:styleId="HEADING">
    <w:name w:val="HEADING"/>
    <w:basedOn w:val="Normal"/>
    <w:link w:val="HEADINGChar"/>
    <w:qFormat/>
    <w:rsid w:val="000F33CF"/>
    <w:rPr>
      <w:b/>
      <w:color w:val="005DA4"/>
    </w:rPr>
  </w:style>
  <w:style w:type="character" w:customStyle="1" w:styleId="MediumShading1-Accent3Char">
    <w:name w:val="Medium Shading 1 - Accent 3 Char"/>
    <w:link w:val="MediumShading1-Accent3"/>
    <w:uiPriority w:val="29"/>
    <w:rsid w:val="00B3748D"/>
    <w:rPr>
      <w:i/>
      <w:sz w:val="24"/>
      <w:szCs w:val="24"/>
    </w:rPr>
  </w:style>
  <w:style w:type="character" w:customStyle="1" w:styleId="HEADINGChar">
    <w:name w:val="HEADING Char"/>
    <w:link w:val="HEADING"/>
    <w:rsid w:val="000F33CF"/>
    <w:rPr>
      <w:rFonts w:ascii="Times New Roman" w:hAnsi="Times New Roman"/>
      <w:b/>
      <w:color w:val="005DA4"/>
      <w:sz w:val="24"/>
      <w:szCs w:val="24"/>
      <w:lang w:eastAsia="en-US"/>
    </w:rPr>
  </w:style>
  <w:style w:type="character" w:customStyle="1" w:styleId="MediumShading2-Accent3Char">
    <w:name w:val="Medium Shading 2 - Accent 3 Char"/>
    <w:link w:val="MediumShading2-Accent3"/>
    <w:uiPriority w:val="30"/>
    <w:rsid w:val="00B3748D"/>
    <w:rPr>
      <w:b/>
      <w:i/>
      <w:sz w:val="24"/>
    </w:rPr>
  </w:style>
  <w:style w:type="table" w:styleId="MediumShading1-Accent3">
    <w:name w:val="Medium Shading 1 Accent 3"/>
    <w:basedOn w:val="TableNormal"/>
    <w:link w:val="MediumShading1-Accent3Char"/>
    <w:uiPriority w:val="29"/>
    <w:rsid w:val="00B3748D"/>
    <w:rPr>
      <w:i/>
      <w:sz w:val="24"/>
      <w:szCs w:val="24"/>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2-Accent3">
    <w:name w:val="Medium Shading 2 Accent 3"/>
    <w:basedOn w:val="TableNormal"/>
    <w:link w:val="MediumShading2-Accent3Char"/>
    <w:uiPriority w:val="30"/>
    <w:rsid w:val="00B3748D"/>
    <w:rPr>
      <w:b/>
      <w:i/>
      <w:sz w:val="24"/>
    </w:rPr>
    <w:tblPr>
      <w:tblStyleRowBandSize w:val="1"/>
      <w:tblStyleColBandSize w:val="1"/>
      <w:tblBorders>
        <w:top w:val="single" w:sz="18" w:space="0" w:color="auto"/>
        <w:bottom w:val="single" w:sz="18" w:space="0" w:color="auto"/>
      </w:tblBorders>
    </w:tblPr>
    <w:tblStylePr w:type="firstRow">
      <w:pPr>
        <w:spacing w:before="0" w:after="0" w:line="240" w:lineRule="auto"/>
      </w:p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tblPr/>
      <w:tcPr>
        <w:tcBorders>
          <w:top w:val="nil"/>
          <w:left w:val="nil"/>
          <w:bottom w:val="single" w:sz="18" w:space="0" w:color="auto"/>
          <w:right w:val="nil"/>
          <w:insideH w:val="nil"/>
          <w:insideV w:val="nil"/>
        </w:tcBorders>
        <w:shd w:val="clear" w:color="auto" w:fill="9BBB59"/>
      </w:tcPr>
    </w:tblStylePr>
    <w:tblStylePr w:type="lastCol">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tblPr/>
      <w:tcPr>
        <w:tcBorders>
          <w:top w:val="single" w:sz="18" w:space="0" w:color="auto"/>
          <w:left w:val="nil"/>
          <w:bottom w:val="single" w:sz="18" w:space="0" w:color="auto"/>
          <w:right w:val="nil"/>
          <w:insideH w:val="nil"/>
          <w:insideV w:val="nil"/>
        </w:tcBorders>
      </w:tcPr>
    </w:tblStylePr>
  </w:style>
  <w:style w:type="paragraph" w:styleId="EndnoteText">
    <w:name w:val="endnote text"/>
    <w:basedOn w:val="Normal"/>
    <w:link w:val="EndnoteTextChar"/>
    <w:uiPriority w:val="99"/>
    <w:unhideWhenUsed/>
    <w:rsid w:val="005259B6"/>
    <w:pPr>
      <w:jc w:val="left"/>
    </w:pPr>
    <w:rPr>
      <w:rFonts w:ascii="Calibri" w:hAnsi="Calibri"/>
      <w:sz w:val="20"/>
      <w:szCs w:val="20"/>
    </w:rPr>
  </w:style>
  <w:style w:type="character" w:customStyle="1" w:styleId="EndnoteTextChar">
    <w:name w:val="Endnote Text Char"/>
    <w:basedOn w:val="DefaultParagraphFont"/>
    <w:link w:val="EndnoteText"/>
    <w:uiPriority w:val="99"/>
    <w:rsid w:val="005259B6"/>
    <w:rPr>
      <w:lang w:eastAsia="en-US"/>
    </w:rPr>
  </w:style>
  <w:style w:type="character" w:styleId="EndnoteReference">
    <w:name w:val="endnote reference"/>
    <w:basedOn w:val="DefaultParagraphFont"/>
    <w:uiPriority w:val="99"/>
    <w:unhideWhenUsed/>
    <w:rsid w:val="005259B6"/>
    <w:rPr>
      <w:vertAlign w:val="superscript"/>
    </w:rPr>
  </w:style>
  <w:style w:type="character" w:customStyle="1" w:styleId="apple-converted-space">
    <w:name w:val="apple-converted-space"/>
    <w:basedOn w:val="DefaultParagraphFont"/>
    <w:rsid w:val="008B5026"/>
  </w:style>
  <w:style w:type="character" w:customStyle="1" w:styleId="FootnoteTextChar1">
    <w:name w:val="Footnote Text Char1"/>
    <w:uiPriority w:val="99"/>
    <w:locked/>
    <w:rsid w:val="001D419A"/>
    <w:rPr>
      <w:lang w:val="sl-SI" w:eastAsia="it-IT" w:bidi="ar-SA"/>
    </w:rPr>
  </w:style>
  <w:style w:type="paragraph" w:styleId="NormalWeb">
    <w:name w:val="Normal (Web)"/>
    <w:basedOn w:val="Normal"/>
    <w:uiPriority w:val="99"/>
    <w:semiHidden/>
    <w:unhideWhenUsed/>
    <w:rsid w:val="003901D2"/>
    <w:pPr>
      <w:spacing w:before="100" w:beforeAutospacing="1" w:after="100" w:afterAutospacing="1"/>
      <w:jc w:val="left"/>
    </w:pPr>
    <w:rPr>
      <w:rFonts w:eastAsia="Times New Roman"/>
    </w:rPr>
  </w:style>
  <w:style w:type="paragraph" w:customStyle="1" w:styleId="Style1">
    <w:name w:val="Style1"/>
    <w:basedOn w:val="EndnoteText"/>
    <w:qFormat/>
    <w:rsid w:val="00617099"/>
    <w:pPr>
      <w:jc w:val="both"/>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9852466">
      <w:bodyDiv w:val="1"/>
      <w:marLeft w:val="0"/>
      <w:marRight w:val="0"/>
      <w:marTop w:val="0"/>
      <w:marBottom w:val="0"/>
      <w:divBdr>
        <w:top w:val="none" w:sz="0" w:space="0" w:color="auto"/>
        <w:left w:val="none" w:sz="0" w:space="0" w:color="auto"/>
        <w:bottom w:val="none" w:sz="0" w:space="0" w:color="auto"/>
        <w:right w:val="none" w:sz="0" w:space="0" w:color="auto"/>
      </w:divBdr>
      <w:divsChild>
        <w:div w:id="815604007">
          <w:marLeft w:val="0"/>
          <w:marRight w:val="0"/>
          <w:marTop w:val="25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www.edps.europa.e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s://edps.europa.eu/sites/edp/files/publication/19-06-07_opinion_budapest_summary_sl.pdf" TargetMode="External"/><Relationship Id="rId1" Type="http://schemas.openxmlformats.org/officeDocument/2006/relationships/hyperlink" Target="https://edps.europa.eu/sites/edp/files/publication/19-06-07_opinion_eevidence_summary_s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f:fields xmlns:f="http://schemas.fabasoft.com/folio/2007/fields" catsources="">
  <f:record>
    <f:field ref="doc_FSCFOLIO_1_1001_FieldDocumentNumber" par="" text=""/>
    <f:field ref="doc_FSCFOLIO_1_1001_FieldSubject" par="" text="" edit="true"/>
    <f:field ref="FSCFOLIO_1_1001_SignaturesFldCtx_FSCFOLIO_1_1001_FieldLastSignature" par="" text=""/>
    <f:field ref="FSCFOLIO_1_1001_SignaturesFldCtx_FSCFOLIO_1_1001_FieldLastSignatureBy" par="" text=""/>
    <f:field ref="FSCFOLIO_1_1001_SignaturesFldCtx_FSCFOLIO_1_1001_FieldLastSignatureAt" par="" date="" text=""/>
    <f:field ref="FSCFOLIO_1_1001_SignaturesFldCtx_FSCFOLIO_1_1001_FieldLastSignatureRemark" par="" text=""/>
    <f:field ref="FSCFOLIO_1_1001_FieldCurrentUser" par="" text="Amanda Joyce"/>
    <f:field ref="casefile_EDPSOM_103_3700_FieldCaseNumber" par="" text="2019-0881"/>
    <f:field ref="casefile_EDPSOM_103_3700_FieldTitle" par="" text="Passenger Name Record (PNR) data transfer negotiations with Japan"/>
    <f:field ref="casefile_EDPSOM_103_3700_FieldClass" par="" text="04.01.03 Consultation on international agreements"/>
    <f:field ref="casefile_EDPSOM_103_3700_FieldInitiator" par="" text="EDPS"/>
    <f:field ref="casefile_EDPSOM_103_3700_FieldInterinstitutional" par="" text=""/>
    <f:field ref="EDPSOM_103_3700_FieldSensitivity" par="" text="Normal"/>
    <f:field ref="EDPSOM_103_3700_FieldExternalRef" par="" text="" edit="true"/>
    <f:field ref="EDPSOM_103_3700_FieldDescription" par="" text="" edit="true"/>
    <f:field ref="objname" par="" text="Opinion_Recommendation_PNR_Japan_fin" edit="true"/>
    <f:field ref="objsubject" par="" text="" edit="true"/>
    <f:field ref="objcreatedby" par="" text="Angelov, Plamen"/>
    <f:field ref="objcreatedat" par="" date="2019-10-24T10:39:03" text="Oct 24, 2019 10:39:03 AM"/>
    <f:field ref="objchangedby" par="" text="Angelov, Plamen"/>
    <f:field ref="objmodifiedat" par="" date="2019-10-24T16:47:31" text="Oct 24, 2019 4:47:31 PM"/>
  </f:record>
  <f:display par="" text="Mail Merge">
    <f:field ref="doc_FSCFOLIO_1_1001_FieldDocumentNumber" text="Document Number"/>
    <f:field ref="doc_FSCFOLIO_1_1001_FieldSubject" text="Subject"/>
  </f:display>
  <f:display par="" text="Signatures">
    <f:field ref="FSCFOLIO_1_1001_SignaturesFldCtx_FSCFOLIO_1_1001_FieldLastSignature" text="Last Signature"/>
    <f:field ref="FSCFOLIO_1_1001_SignaturesFldCtx_FSCFOLIO_1_1001_FieldLastSignatureBy" text="Last Signature By"/>
    <f:field ref="FSCFOLIO_1_1001_SignaturesFldCtx_FSCFOLIO_1_1001_FieldLastSignatureAt" text="Last Signature on/at"/>
    <f:field ref="FSCFOLIO_1_1001_SignaturesFldCtx_FSCFOLIO_1_1001_FieldLastSignatureRemark" text="Remark of Last Signature"/>
  </f:display>
  <f:display par="" text="General">
    <f:field ref="FSCFOLIO_1_1001_FieldCurrentUser" text="Current User"/>
    <f:field ref="EDPSOM_103_3700_FieldSensitivity" text="Sensitivity"/>
    <f:field ref="EDPSOM_103_3700_FieldExternalRef" text="Sender's reference"/>
    <f:field ref="EDPSOM_103_3700_FieldDescription" text="Description"/>
    <f:field ref="objname" text="Name"/>
    <f:field ref="objsubject" text="Subject"/>
    <f:field ref="objcreatedby" text="Created by"/>
    <f:field ref="objcreatedat" text="Created on/at"/>
    <f:field ref="objchangedby" text="Last Change by"/>
    <f:field ref="objmodifiedat" text="Last Change on/at"/>
  </f:display>
  <f:display par="" text="Case file">
    <f:field ref="casefile_EDPSOM_103_3700_FieldCaseNumber" text="Case number"/>
    <f:field ref="casefile_EDPSOM_103_3700_FieldTitle" text="Title"/>
    <f:field ref="casefile_EDPSOM_103_3700_FieldClass" text="Class"/>
    <f:field ref="casefile_EDPSOM_103_3700_FieldInitiator" text="Initiator"/>
    <f:field ref="casefile_EDPSOM_103_3700_FieldInterinstitutional" text="Interinstitutional number"/>
  </f:display>
</f:field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86F1B7FD-A76D-42E5-A7B2-6C5397BEEEB6}">
  <ds:schemaRefs>
    <ds:schemaRef ds:uri="http://schemas.openxmlformats.org/officeDocument/2006/bibliography"/>
  </ds:schemaRefs>
</ds:datastoreItem>
</file>

<file path=customXml/itemProps3.xml><?xml version="1.0" encoding="utf-8"?>
<ds:datastoreItem xmlns:ds="http://schemas.openxmlformats.org/officeDocument/2006/customXml" ds:itemID="{73EFF4EE-49DE-4BBB-96AE-2DFCFFE5CFAD}">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Normal.dotm</ap:Template>
  <ap:TotalTime>8</ap:TotalTime>
  <ap:Pages>1</ap:Pages>
  <ap:Words>1493</ap:Words>
  <ap:Characters>8512</ap:Characters>
  <ap:Application>Microsoft Office Word</ap:Application>
  <ap:DocSecurity>0</ap:DocSecurity>
  <ap:Lines>70</ap:Lines>
  <ap:Paragraphs>19</ap:Paragraphs>
  <ap:ScaleCrop>false</ap:ScaleCrop>
  <ap:HeadingPairs>
    <vt:vector baseType="variant" size="4">
      <vt:variant>
        <vt:lpstr>Title</vt:lpstr>
      </vt:variant>
      <vt:variant>
        <vt:i4>1</vt:i4>
      </vt:variant>
      <vt:variant>
        <vt:lpstr>Titolo</vt:lpstr>
      </vt:variant>
      <vt:variant>
        <vt:i4>1</vt:i4>
      </vt:variant>
    </vt:vector>
  </ap:HeadingPairs>
  <ap:TitlesOfParts>
    <vt:vector baseType="lpstr" size="2">
      <vt:lpstr/>
      <vt:lpstr/>
    </vt:vector>
  </ap:TitlesOfParts>
  <ap:Company>CDT</ap:Company>
  <ap:LinksUpToDate>false</ap:LinksUpToDate>
  <ap:CharactersWithSpaces>9986</ap:CharactersWithSpaces>
  <ap:SharedDoc>false</ap:SharedDoc>
  <ap:HLinks>
    <vt:vector baseType="variant" size="222">
      <vt:variant>
        <vt:i4>1245246</vt:i4>
      </vt:variant>
      <vt:variant>
        <vt:i4>146</vt:i4>
      </vt:variant>
      <vt:variant>
        <vt:i4>0</vt:i4>
      </vt:variant>
      <vt:variant>
        <vt:i4>5</vt:i4>
      </vt:variant>
      <vt:variant>
        <vt:lpwstr/>
      </vt:variant>
      <vt:variant>
        <vt:lpwstr>_Toc418070558</vt:lpwstr>
      </vt:variant>
      <vt:variant>
        <vt:i4>1245246</vt:i4>
      </vt:variant>
      <vt:variant>
        <vt:i4>140</vt:i4>
      </vt:variant>
      <vt:variant>
        <vt:i4>0</vt:i4>
      </vt:variant>
      <vt:variant>
        <vt:i4>5</vt:i4>
      </vt:variant>
      <vt:variant>
        <vt:lpwstr/>
      </vt:variant>
      <vt:variant>
        <vt:lpwstr>_Toc418070557</vt:lpwstr>
      </vt:variant>
      <vt:variant>
        <vt:i4>1245246</vt:i4>
      </vt:variant>
      <vt:variant>
        <vt:i4>134</vt:i4>
      </vt:variant>
      <vt:variant>
        <vt:i4>0</vt:i4>
      </vt:variant>
      <vt:variant>
        <vt:i4>5</vt:i4>
      </vt:variant>
      <vt:variant>
        <vt:lpwstr/>
      </vt:variant>
      <vt:variant>
        <vt:lpwstr>_Toc418070556</vt:lpwstr>
      </vt:variant>
      <vt:variant>
        <vt:i4>1245246</vt:i4>
      </vt:variant>
      <vt:variant>
        <vt:i4>128</vt:i4>
      </vt:variant>
      <vt:variant>
        <vt:i4>0</vt:i4>
      </vt:variant>
      <vt:variant>
        <vt:i4>5</vt:i4>
      </vt:variant>
      <vt:variant>
        <vt:lpwstr/>
      </vt:variant>
      <vt:variant>
        <vt:lpwstr>_Toc418070555</vt:lpwstr>
      </vt:variant>
      <vt:variant>
        <vt:i4>1245246</vt:i4>
      </vt:variant>
      <vt:variant>
        <vt:i4>122</vt:i4>
      </vt:variant>
      <vt:variant>
        <vt:i4>0</vt:i4>
      </vt:variant>
      <vt:variant>
        <vt:i4>5</vt:i4>
      </vt:variant>
      <vt:variant>
        <vt:lpwstr/>
      </vt:variant>
      <vt:variant>
        <vt:lpwstr>_Toc418070554</vt:lpwstr>
      </vt:variant>
      <vt:variant>
        <vt:i4>1245246</vt:i4>
      </vt:variant>
      <vt:variant>
        <vt:i4>116</vt:i4>
      </vt:variant>
      <vt:variant>
        <vt:i4>0</vt:i4>
      </vt:variant>
      <vt:variant>
        <vt:i4>5</vt:i4>
      </vt:variant>
      <vt:variant>
        <vt:lpwstr/>
      </vt:variant>
      <vt:variant>
        <vt:lpwstr>_Toc418070553</vt:lpwstr>
      </vt:variant>
      <vt:variant>
        <vt:i4>1245246</vt:i4>
      </vt:variant>
      <vt:variant>
        <vt:i4>110</vt:i4>
      </vt:variant>
      <vt:variant>
        <vt:i4>0</vt:i4>
      </vt:variant>
      <vt:variant>
        <vt:i4>5</vt:i4>
      </vt:variant>
      <vt:variant>
        <vt:lpwstr/>
      </vt:variant>
      <vt:variant>
        <vt:lpwstr>_Toc418070552</vt:lpwstr>
      </vt:variant>
      <vt:variant>
        <vt:i4>1245246</vt:i4>
      </vt:variant>
      <vt:variant>
        <vt:i4>104</vt:i4>
      </vt:variant>
      <vt:variant>
        <vt:i4>0</vt:i4>
      </vt:variant>
      <vt:variant>
        <vt:i4>5</vt:i4>
      </vt:variant>
      <vt:variant>
        <vt:lpwstr/>
      </vt:variant>
      <vt:variant>
        <vt:lpwstr>_Toc418070551</vt:lpwstr>
      </vt:variant>
      <vt:variant>
        <vt:i4>1245246</vt:i4>
      </vt:variant>
      <vt:variant>
        <vt:i4>98</vt:i4>
      </vt:variant>
      <vt:variant>
        <vt:i4>0</vt:i4>
      </vt:variant>
      <vt:variant>
        <vt:i4>5</vt:i4>
      </vt:variant>
      <vt:variant>
        <vt:lpwstr/>
      </vt:variant>
      <vt:variant>
        <vt:lpwstr>_Toc418070550</vt:lpwstr>
      </vt:variant>
      <vt:variant>
        <vt:i4>1179710</vt:i4>
      </vt:variant>
      <vt:variant>
        <vt:i4>92</vt:i4>
      </vt:variant>
      <vt:variant>
        <vt:i4>0</vt:i4>
      </vt:variant>
      <vt:variant>
        <vt:i4>5</vt:i4>
      </vt:variant>
      <vt:variant>
        <vt:lpwstr/>
      </vt:variant>
      <vt:variant>
        <vt:lpwstr>_Toc418070549</vt:lpwstr>
      </vt:variant>
      <vt:variant>
        <vt:i4>1179710</vt:i4>
      </vt:variant>
      <vt:variant>
        <vt:i4>86</vt:i4>
      </vt:variant>
      <vt:variant>
        <vt:i4>0</vt:i4>
      </vt:variant>
      <vt:variant>
        <vt:i4>5</vt:i4>
      </vt:variant>
      <vt:variant>
        <vt:lpwstr/>
      </vt:variant>
      <vt:variant>
        <vt:lpwstr>_Toc418070548</vt:lpwstr>
      </vt:variant>
      <vt:variant>
        <vt:i4>1179710</vt:i4>
      </vt:variant>
      <vt:variant>
        <vt:i4>80</vt:i4>
      </vt:variant>
      <vt:variant>
        <vt:i4>0</vt:i4>
      </vt:variant>
      <vt:variant>
        <vt:i4>5</vt:i4>
      </vt:variant>
      <vt:variant>
        <vt:lpwstr/>
      </vt:variant>
      <vt:variant>
        <vt:lpwstr>_Toc418070547</vt:lpwstr>
      </vt:variant>
      <vt:variant>
        <vt:i4>1179710</vt:i4>
      </vt:variant>
      <vt:variant>
        <vt:i4>74</vt:i4>
      </vt:variant>
      <vt:variant>
        <vt:i4>0</vt:i4>
      </vt:variant>
      <vt:variant>
        <vt:i4>5</vt:i4>
      </vt:variant>
      <vt:variant>
        <vt:lpwstr/>
      </vt:variant>
      <vt:variant>
        <vt:lpwstr>_Toc418070546</vt:lpwstr>
      </vt:variant>
      <vt:variant>
        <vt:i4>1179710</vt:i4>
      </vt:variant>
      <vt:variant>
        <vt:i4>68</vt:i4>
      </vt:variant>
      <vt:variant>
        <vt:i4>0</vt:i4>
      </vt:variant>
      <vt:variant>
        <vt:i4>5</vt:i4>
      </vt:variant>
      <vt:variant>
        <vt:lpwstr/>
      </vt:variant>
      <vt:variant>
        <vt:lpwstr>_Toc418070545</vt:lpwstr>
      </vt:variant>
      <vt:variant>
        <vt:i4>1179710</vt:i4>
      </vt:variant>
      <vt:variant>
        <vt:i4>62</vt:i4>
      </vt:variant>
      <vt:variant>
        <vt:i4>0</vt:i4>
      </vt:variant>
      <vt:variant>
        <vt:i4>5</vt:i4>
      </vt:variant>
      <vt:variant>
        <vt:lpwstr/>
      </vt:variant>
      <vt:variant>
        <vt:lpwstr>_Toc418070544</vt:lpwstr>
      </vt:variant>
      <vt:variant>
        <vt:i4>1179710</vt:i4>
      </vt:variant>
      <vt:variant>
        <vt:i4>56</vt:i4>
      </vt:variant>
      <vt:variant>
        <vt:i4>0</vt:i4>
      </vt:variant>
      <vt:variant>
        <vt:i4>5</vt:i4>
      </vt:variant>
      <vt:variant>
        <vt:lpwstr/>
      </vt:variant>
      <vt:variant>
        <vt:lpwstr>_Toc418070543</vt:lpwstr>
      </vt:variant>
      <vt:variant>
        <vt:i4>1179710</vt:i4>
      </vt:variant>
      <vt:variant>
        <vt:i4>50</vt:i4>
      </vt:variant>
      <vt:variant>
        <vt:i4>0</vt:i4>
      </vt:variant>
      <vt:variant>
        <vt:i4>5</vt:i4>
      </vt:variant>
      <vt:variant>
        <vt:lpwstr/>
      </vt:variant>
      <vt:variant>
        <vt:lpwstr>_Toc418070542</vt:lpwstr>
      </vt:variant>
      <vt:variant>
        <vt:i4>1179710</vt:i4>
      </vt:variant>
      <vt:variant>
        <vt:i4>44</vt:i4>
      </vt:variant>
      <vt:variant>
        <vt:i4>0</vt:i4>
      </vt:variant>
      <vt:variant>
        <vt:i4>5</vt:i4>
      </vt:variant>
      <vt:variant>
        <vt:lpwstr/>
      </vt:variant>
      <vt:variant>
        <vt:lpwstr>_Toc418070541</vt:lpwstr>
      </vt:variant>
      <vt:variant>
        <vt:i4>1179710</vt:i4>
      </vt:variant>
      <vt:variant>
        <vt:i4>38</vt:i4>
      </vt:variant>
      <vt:variant>
        <vt:i4>0</vt:i4>
      </vt:variant>
      <vt:variant>
        <vt:i4>5</vt:i4>
      </vt:variant>
      <vt:variant>
        <vt:lpwstr/>
      </vt:variant>
      <vt:variant>
        <vt:lpwstr>_Toc418070540</vt:lpwstr>
      </vt:variant>
      <vt:variant>
        <vt:i4>1376318</vt:i4>
      </vt:variant>
      <vt:variant>
        <vt:i4>32</vt:i4>
      </vt:variant>
      <vt:variant>
        <vt:i4>0</vt:i4>
      </vt:variant>
      <vt:variant>
        <vt:i4>5</vt:i4>
      </vt:variant>
      <vt:variant>
        <vt:lpwstr/>
      </vt:variant>
      <vt:variant>
        <vt:lpwstr>_Toc418070539</vt:lpwstr>
      </vt:variant>
      <vt:variant>
        <vt:i4>1376318</vt:i4>
      </vt:variant>
      <vt:variant>
        <vt:i4>26</vt:i4>
      </vt:variant>
      <vt:variant>
        <vt:i4>0</vt:i4>
      </vt:variant>
      <vt:variant>
        <vt:i4>5</vt:i4>
      </vt:variant>
      <vt:variant>
        <vt:lpwstr/>
      </vt:variant>
      <vt:variant>
        <vt:lpwstr>_Toc418070538</vt:lpwstr>
      </vt:variant>
      <vt:variant>
        <vt:i4>1376318</vt:i4>
      </vt:variant>
      <vt:variant>
        <vt:i4>20</vt:i4>
      </vt:variant>
      <vt:variant>
        <vt:i4>0</vt:i4>
      </vt:variant>
      <vt:variant>
        <vt:i4>5</vt:i4>
      </vt:variant>
      <vt:variant>
        <vt:lpwstr/>
      </vt:variant>
      <vt:variant>
        <vt:lpwstr>_Toc418070537</vt:lpwstr>
      </vt:variant>
      <vt:variant>
        <vt:i4>1376318</vt:i4>
      </vt:variant>
      <vt:variant>
        <vt:i4>14</vt:i4>
      </vt:variant>
      <vt:variant>
        <vt:i4>0</vt:i4>
      </vt:variant>
      <vt:variant>
        <vt:i4>5</vt:i4>
      </vt:variant>
      <vt:variant>
        <vt:lpwstr/>
      </vt:variant>
      <vt:variant>
        <vt:lpwstr>_Toc418070536</vt:lpwstr>
      </vt:variant>
      <vt:variant>
        <vt:i4>1376318</vt:i4>
      </vt:variant>
      <vt:variant>
        <vt:i4>8</vt:i4>
      </vt:variant>
      <vt:variant>
        <vt:i4>0</vt:i4>
      </vt:variant>
      <vt:variant>
        <vt:i4>5</vt:i4>
      </vt:variant>
      <vt:variant>
        <vt:lpwstr/>
      </vt:variant>
      <vt:variant>
        <vt:lpwstr>_Toc418070535</vt:lpwstr>
      </vt:variant>
      <vt:variant>
        <vt:i4>1376318</vt:i4>
      </vt:variant>
      <vt:variant>
        <vt:i4>2</vt:i4>
      </vt:variant>
      <vt:variant>
        <vt:i4>0</vt:i4>
      </vt:variant>
      <vt:variant>
        <vt:i4>5</vt:i4>
      </vt:variant>
      <vt:variant>
        <vt:lpwstr/>
      </vt:variant>
      <vt:variant>
        <vt:lpwstr>_Toc418070534</vt:lpwstr>
      </vt:variant>
      <vt:variant>
        <vt:i4>2686982</vt:i4>
      </vt:variant>
      <vt:variant>
        <vt:i4>33</vt:i4>
      </vt:variant>
      <vt:variant>
        <vt:i4>0</vt:i4>
      </vt:variant>
      <vt:variant>
        <vt:i4>5</vt:i4>
      </vt:variant>
      <vt:variant>
        <vt:lpwstr>http://idpc.gov.mt/dbfile.aspx/Opinion3_2013.pdf</vt:lpwstr>
      </vt:variant>
      <vt:variant>
        <vt:lpwstr/>
      </vt:variant>
      <vt:variant>
        <vt:i4>524333</vt:i4>
      </vt:variant>
      <vt:variant>
        <vt:i4>30</vt:i4>
      </vt:variant>
      <vt:variant>
        <vt:i4>0</vt:i4>
      </vt:variant>
      <vt:variant>
        <vt:i4>5</vt:i4>
      </vt:variant>
      <vt:variant>
        <vt:lpwstr>http://ec.europa.eu/justice/policies/privacy/docs/wpdocs/2010/wp169_en.pdf</vt:lpwstr>
      </vt:variant>
      <vt:variant>
        <vt:lpwstr/>
      </vt:variant>
      <vt:variant>
        <vt:i4>2359380</vt:i4>
      </vt:variant>
      <vt:variant>
        <vt:i4>27</vt:i4>
      </vt:variant>
      <vt:variant>
        <vt:i4>0</vt:i4>
      </vt:variant>
      <vt:variant>
        <vt:i4>5</vt:i4>
      </vt:variant>
      <vt:variant>
        <vt:lpwstr>http://ec.europa.eu/justice/data-protection/article-29/documentation/opinion-recommendation/index_en.htm</vt:lpwstr>
      </vt:variant>
      <vt:variant>
        <vt:lpwstr/>
      </vt:variant>
      <vt:variant>
        <vt:i4>6</vt:i4>
      </vt:variant>
      <vt:variant>
        <vt:i4>24</vt:i4>
      </vt:variant>
      <vt:variant>
        <vt:i4>0</vt:i4>
      </vt:variant>
      <vt:variant>
        <vt:i4>5</vt:i4>
      </vt:variant>
      <vt:variant>
        <vt:lpwstr>https://secure.edps.europa.eu/EDPSWEB/edps/EDPS/IPEN</vt:lpwstr>
      </vt:variant>
      <vt:variant>
        <vt:lpwstr/>
      </vt:variant>
      <vt:variant>
        <vt:i4>6619210</vt:i4>
      </vt:variant>
      <vt:variant>
        <vt:i4>21</vt:i4>
      </vt:variant>
      <vt:variant>
        <vt:i4>0</vt:i4>
      </vt:variant>
      <vt:variant>
        <vt:i4>5</vt:i4>
      </vt:variant>
      <vt:variant>
        <vt:lpwstr>http://www.enisa.europa.eu/activities/Resilience-and-CIIP/critical-applications/smartphone-security-1/smartphone-secure-development-guidelines/at_download/fullReport</vt:lpwstr>
      </vt:variant>
      <vt:variant>
        <vt:lpwstr/>
      </vt:variant>
      <vt:variant>
        <vt:i4>2818081</vt:i4>
      </vt:variant>
      <vt:variant>
        <vt:i4>18</vt:i4>
      </vt:variant>
      <vt:variant>
        <vt:i4>0</vt:i4>
      </vt:variant>
      <vt:variant>
        <vt:i4>5</vt:i4>
      </vt:variant>
      <vt:variant>
        <vt:lpwstr>https://wcd.coe.int/ViewDoc.jsp?id=1710949</vt:lpwstr>
      </vt:variant>
      <vt:variant>
        <vt:lpwstr/>
      </vt:variant>
      <vt:variant>
        <vt:i4>7471151</vt:i4>
      </vt:variant>
      <vt:variant>
        <vt:i4>15</vt:i4>
      </vt:variant>
      <vt:variant>
        <vt:i4>0</vt:i4>
      </vt:variant>
      <vt:variant>
        <vt:i4>5</vt:i4>
      </vt:variant>
      <vt:variant>
        <vt:lpwstr>http://online.wsj.com/article/SB10001424052748704694004576020083703574602.html</vt:lpwstr>
      </vt:variant>
      <vt:variant>
        <vt:lpwstr/>
      </vt:variant>
      <vt:variant>
        <vt:i4>5701635</vt:i4>
      </vt:variant>
      <vt:variant>
        <vt:i4>12</vt:i4>
      </vt:variant>
      <vt:variant>
        <vt:i4>0</vt:i4>
      </vt:variant>
      <vt:variant>
        <vt:i4>5</vt:i4>
      </vt:variant>
      <vt:variant>
        <vt:lpwstr>http://ec.europa.eu/justice/data-protection/article-29/documentation/other-document/files/2015/20150205_letter_art29wp_ec_health_data_after_plenary_en.pdf</vt:lpwstr>
      </vt:variant>
      <vt:variant>
        <vt:lpwstr/>
      </vt:variant>
      <vt:variant>
        <vt:i4>6291531</vt:i4>
      </vt:variant>
      <vt:variant>
        <vt:i4>9</vt:i4>
      </vt:variant>
      <vt:variant>
        <vt:i4>0</vt:i4>
      </vt:variant>
      <vt:variant>
        <vt:i4>5</vt:i4>
      </vt:variant>
      <vt:variant>
        <vt:lpwstr>http://ec.europa.eu/justice/data-protection/article-29/documentation/opinion-recommendation/files/2014/wp216_en.pdf</vt:lpwstr>
      </vt:variant>
      <vt:variant>
        <vt:lpwstr/>
      </vt:variant>
      <vt:variant>
        <vt:i4>786469</vt:i4>
      </vt:variant>
      <vt:variant>
        <vt:i4>6</vt:i4>
      </vt:variant>
      <vt:variant>
        <vt:i4>0</vt:i4>
      </vt:variant>
      <vt:variant>
        <vt:i4>5</vt:i4>
      </vt:variant>
      <vt:variant>
        <vt:lpwstr>http://ec.europa.eu/justice/policies/privacy/docs/wpdocs/2007/wp136_en.pdf</vt:lpwstr>
      </vt:variant>
      <vt:variant>
        <vt:lpwstr/>
      </vt:variant>
      <vt:variant>
        <vt:i4>4522036</vt:i4>
      </vt:variant>
      <vt:variant>
        <vt:i4>3</vt:i4>
      </vt:variant>
      <vt:variant>
        <vt:i4>0</vt:i4>
      </vt:variant>
      <vt:variant>
        <vt:i4>5</vt:i4>
      </vt:variant>
      <vt:variant>
        <vt:lpwstr>https://secure.edps.europa.eu/EDPSWEB/webdav/site/mySite/shared/Documents/Consultation/Thematic%20Guidelines/14-11-25_Financial_Guidelines_EN.pdf</vt:lpwstr>
      </vt:variant>
      <vt:variant>
        <vt:lpwstr/>
      </vt:variant>
      <vt:variant>
        <vt:i4>6488138</vt:i4>
      </vt:variant>
      <vt:variant>
        <vt:i4>0</vt:i4>
      </vt:variant>
      <vt:variant>
        <vt:i4>0</vt:i4>
      </vt:variant>
      <vt:variant>
        <vt:i4>5</vt:i4>
      </vt:variant>
      <vt:variant>
        <vt:lpwstr>http://ec.europa.eu/justice/data-protection/article-29/documentation/opinion-recommendation/files/2013/wp202_en.pdf</vt:lpwstr>
      </vt:variant>
      <vt:variant>
        <vt:lpwstr/>
      </vt:variant>
    </vt:vector>
  </ap:HLinks>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title/>
  <dc:creator>CDT</dc:creator>
  <lastModifiedBy>CDT</lastModifiedBy>
  <revision>12</revision>
  <lastPrinted>2019-10-24T14:21:00.0000000Z</lastPrinted>
  <dcterms:created xsi:type="dcterms:W3CDTF">2019-10-25T09:45:00.0000000Z</dcterms:created>
  <dcterms:modified xsi:type="dcterms:W3CDTF">2019-11-08T13:49:00.0000000Z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DPSOM@103.3700:edpscasenumber">
    <vt:lpwstr>2019-0881</vt:lpwstr>
  </property>
  <property fmtid="{D5CDD505-2E9C-101B-9397-08002B2CF9AE}" pid="3" name="FSC#EDPSOM@103.3700:edpscasetitle">
    <vt:lpwstr>Passenger Name Record (PNR) data transfer negotiations with Japan</vt:lpwstr>
  </property>
  <property fmtid="{D5CDD505-2E9C-101B-9397-08002B2CF9AE}" pid="4" name="FSC#EDPSOM@103.3700:edpscasedescription">
    <vt:lpwstr>Passenger Name Record (PNR) data transfer negotiations with Japan</vt:lpwstr>
  </property>
  <property fmtid="{D5CDD505-2E9C-101B-9397-08002B2CF9AE}" pid="5" name="FSC#EDPSOM@103.3700:edpsarrivalnumber">
    <vt:lpwstr/>
  </property>
  <property fmtid="{D5CDD505-2E9C-101B-9397-08002B2CF9AE}" pid="6" name="FSC#EDPSOM@103.3700:edpsdeparturenumber">
    <vt:lpwstr/>
  </property>
  <property fmtid="{D5CDD505-2E9C-101B-9397-08002B2CF9AE}" pid="7" name="FSC#COOSYSTEM@1.1:Container">
    <vt:lpwstr>COO.6515.100.4.380260</vt:lpwstr>
  </property>
  <property fmtid="{D5CDD505-2E9C-101B-9397-08002B2CF9AE}" pid="8" name="FSC#FSCFOLIO@1.1001:docpropproject">
    <vt:lpwstr/>
  </property>
</Properties>
</file>